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366A" w14:textId="77777777" w:rsidR="002B59B9" w:rsidRPr="002B59B9" w:rsidRDefault="002B59B9" w:rsidP="00DD5D96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Verdana" w:eastAsia="Times New Roman" w:hAnsi="Verdana" w:cs="Calibri"/>
          <w:b/>
          <w:bCs/>
          <w:color w:val="FF0000"/>
          <w:sz w:val="20"/>
          <w:szCs w:val="20"/>
          <w:lang w:val="bg-BG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bg-BG"/>
        </w:rPr>
        <w:tab/>
      </w:r>
      <w:r>
        <w:rPr>
          <w:rFonts w:ascii="Verdana" w:eastAsia="Times New Roman" w:hAnsi="Verdana" w:cs="Calibri"/>
          <w:b/>
          <w:bCs/>
          <w:sz w:val="20"/>
          <w:szCs w:val="20"/>
          <w:lang w:val="bg-BG"/>
        </w:rPr>
        <w:tab/>
      </w:r>
      <w:r>
        <w:rPr>
          <w:rFonts w:ascii="Verdana" w:eastAsia="Times New Roman" w:hAnsi="Verdana" w:cs="Calibri"/>
          <w:b/>
          <w:bCs/>
          <w:sz w:val="20"/>
          <w:szCs w:val="20"/>
          <w:lang w:val="bg-BG"/>
        </w:rPr>
        <w:tab/>
      </w:r>
      <w:r>
        <w:rPr>
          <w:rFonts w:ascii="Verdana" w:eastAsia="Times New Roman" w:hAnsi="Verdana" w:cs="Calibri"/>
          <w:b/>
          <w:bCs/>
          <w:sz w:val="20"/>
          <w:szCs w:val="20"/>
          <w:lang w:val="bg-BG"/>
        </w:rPr>
        <w:tab/>
      </w:r>
      <w:r>
        <w:rPr>
          <w:rFonts w:ascii="Verdana" w:eastAsia="Times New Roman" w:hAnsi="Verdana" w:cs="Calibri"/>
          <w:b/>
          <w:bCs/>
          <w:sz w:val="20"/>
          <w:szCs w:val="20"/>
          <w:lang w:val="bg-BG"/>
        </w:rPr>
        <w:tab/>
      </w:r>
      <w:r>
        <w:rPr>
          <w:rFonts w:ascii="Verdana" w:eastAsia="Times New Roman" w:hAnsi="Verdana" w:cs="Calibri"/>
          <w:b/>
          <w:bCs/>
          <w:sz w:val="20"/>
          <w:szCs w:val="20"/>
          <w:lang w:val="bg-BG"/>
        </w:rPr>
        <w:tab/>
      </w:r>
      <w:r>
        <w:rPr>
          <w:rFonts w:ascii="Verdana" w:eastAsia="Times New Roman" w:hAnsi="Verdana" w:cs="Calibri"/>
          <w:b/>
          <w:bCs/>
          <w:sz w:val="20"/>
          <w:szCs w:val="20"/>
          <w:lang w:val="bg-BG"/>
        </w:rPr>
        <w:tab/>
      </w:r>
      <w:r>
        <w:rPr>
          <w:rFonts w:ascii="Verdana" w:eastAsia="Times New Roman" w:hAnsi="Verdana" w:cs="Calibri"/>
          <w:b/>
          <w:bCs/>
          <w:sz w:val="20"/>
          <w:szCs w:val="20"/>
          <w:lang w:val="bg-BG"/>
        </w:rPr>
        <w:tab/>
      </w:r>
      <w:r>
        <w:rPr>
          <w:rFonts w:ascii="Verdana" w:eastAsia="Times New Roman" w:hAnsi="Verdana" w:cs="Calibri"/>
          <w:b/>
          <w:bCs/>
          <w:sz w:val="20"/>
          <w:szCs w:val="20"/>
          <w:lang w:val="bg-BG"/>
        </w:rPr>
        <w:tab/>
      </w:r>
      <w:r>
        <w:rPr>
          <w:rFonts w:ascii="Verdana" w:eastAsia="Times New Roman" w:hAnsi="Verdana" w:cs="Calibri"/>
          <w:b/>
          <w:bCs/>
          <w:sz w:val="20"/>
          <w:szCs w:val="20"/>
          <w:lang w:val="bg-BG"/>
        </w:rPr>
        <w:tab/>
      </w:r>
    </w:p>
    <w:p w14:paraId="64827039" w14:textId="77777777" w:rsidR="002B59B9" w:rsidRDefault="002B59B9" w:rsidP="00DD5D96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Verdana" w:eastAsia="Times New Roman" w:hAnsi="Verdana" w:cs="Calibri"/>
          <w:b/>
          <w:bCs/>
          <w:sz w:val="20"/>
          <w:szCs w:val="20"/>
          <w:lang w:val="bg-BG"/>
        </w:rPr>
      </w:pPr>
    </w:p>
    <w:p w14:paraId="7B18343D" w14:textId="77777777" w:rsidR="00FF4152" w:rsidRDefault="00B12153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F0122F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>„ДЪРЖАВНА КОНСОЛИДАЦИОННА КОМПАНИЯ” ЕАД</w:t>
      </w:r>
      <w:r w:rsidRPr="00F0122F">
        <w:rPr>
          <w:rFonts w:ascii="Verdana" w:eastAsia="Times New Roman" w:hAnsi="Verdana" w:cs="Calibri"/>
          <w:sz w:val="20"/>
          <w:szCs w:val="20"/>
          <w:lang w:val="bg-BG"/>
        </w:rPr>
        <w:t xml:space="preserve">, </w:t>
      </w:r>
      <w:r w:rsidR="0031289B">
        <w:rPr>
          <w:rFonts w:ascii="Verdana" w:eastAsia="Times New Roman" w:hAnsi="Verdana" w:cs="Calibri"/>
          <w:sz w:val="20"/>
          <w:szCs w:val="20"/>
          <w:lang w:val="bg-BG"/>
        </w:rPr>
        <w:t xml:space="preserve">ЕИК 121031861, със седалище и адрес на управление: </w:t>
      </w:r>
      <w:r w:rsidR="0031289B" w:rsidRPr="006F73AF">
        <w:rPr>
          <w:rFonts w:ascii="Verdana" w:eastAsia="Times New Roman" w:hAnsi="Verdana" w:cs="Calibri"/>
          <w:sz w:val="20"/>
          <w:szCs w:val="20"/>
          <w:lang w:val="bg-BG"/>
        </w:rPr>
        <w:t>гр. София, район Изгрев, ул. „Тинтява” № 86</w:t>
      </w:r>
      <w:r w:rsidR="0031289B">
        <w:rPr>
          <w:rFonts w:ascii="Verdana" w:eastAsia="Times New Roman" w:hAnsi="Verdana" w:cs="Calibri"/>
          <w:sz w:val="20"/>
          <w:szCs w:val="20"/>
          <w:lang w:val="bg-BG"/>
        </w:rPr>
        <w:t xml:space="preserve">, </w:t>
      </w:r>
      <w:r w:rsidR="00FF4152" w:rsidRPr="00F0122F">
        <w:rPr>
          <w:rFonts w:ascii="Verdana" w:eastAsia="Times New Roman" w:hAnsi="Verdana" w:cs="Calibri"/>
          <w:sz w:val="20"/>
          <w:szCs w:val="20"/>
          <w:lang w:val="bg-BG"/>
        </w:rPr>
        <w:t xml:space="preserve">на основание </w:t>
      </w:r>
      <w:r w:rsidR="00C57F27" w:rsidRPr="00F0122F">
        <w:rPr>
          <w:rFonts w:ascii="Verdana" w:eastAsia="Times New Roman" w:hAnsi="Verdana" w:cs="Calibri"/>
          <w:sz w:val="20"/>
          <w:szCs w:val="20"/>
          <w:lang w:val="bg-BG"/>
        </w:rPr>
        <w:t xml:space="preserve">чл. 29, ал. </w:t>
      </w:r>
      <w:r w:rsidR="002B59B9">
        <w:rPr>
          <w:rFonts w:ascii="Verdana" w:eastAsia="Times New Roman" w:hAnsi="Verdana" w:cs="Calibri"/>
          <w:sz w:val="20"/>
          <w:szCs w:val="20"/>
          <w:lang w:val="bg-BG"/>
        </w:rPr>
        <w:t>5</w:t>
      </w:r>
      <w:r w:rsidR="00C57F27" w:rsidRPr="00F0122F">
        <w:rPr>
          <w:rFonts w:ascii="Verdana" w:eastAsia="Times New Roman" w:hAnsi="Verdana" w:cs="Calibri"/>
          <w:sz w:val="20"/>
          <w:szCs w:val="20"/>
          <w:lang w:val="bg-BG"/>
        </w:rPr>
        <w:t xml:space="preserve"> от Правилника за прилагане на Закона за публичните предприятия </w:t>
      </w:r>
    </w:p>
    <w:p w14:paraId="6A98F9D3" w14:textId="77777777" w:rsidR="002B59B9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</w:p>
    <w:p w14:paraId="09B502A0" w14:textId="77777777" w:rsidR="002B59B9" w:rsidRPr="00F0122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b/>
          <w:sz w:val="22"/>
          <w:szCs w:val="22"/>
          <w:lang w:val="bg-BG"/>
        </w:rPr>
      </w:pPr>
    </w:p>
    <w:p w14:paraId="003267FB" w14:textId="77777777" w:rsidR="00FF4152" w:rsidRPr="00F0122F" w:rsidRDefault="002A7415" w:rsidP="00CC1C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eastAsia="Times New Roman" w:hAnsi="Verdana" w:cs="Calibri"/>
          <w:b/>
          <w:bCs/>
          <w:sz w:val="20"/>
          <w:szCs w:val="20"/>
          <w:lang w:val="bg-BG"/>
        </w:rPr>
      </w:pPr>
      <w:r w:rsidRPr="00F0122F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>ОБЯВЯВА</w:t>
      </w:r>
    </w:p>
    <w:p w14:paraId="28CBAFF9" w14:textId="77777777" w:rsidR="00DD5D96" w:rsidRPr="00F0122F" w:rsidRDefault="00DD5D96" w:rsidP="00CC1C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eastAsia="Times New Roman" w:hAnsi="Verdana" w:cs="Calibri"/>
          <w:b/>
          <w:bCs/>
          <w:sz w:val="20"/>
          <w:szCs w:val="20"/>
          <w:lang w:val="bg-BG"/>
        </w:rPr>
      </w:pPr>
    </w:p>
    <w:p w14:paraId="292AA83F" w14:textId="77777777" w:rsidR="0031289B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bookmarkStart w:id="0" w:name="_Hlk129602364"/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процедура за избор на застраховател за </w:t>
      </w:r>
      <w:r w:rsidRPr="006F73AF">
        <w:rPr>
          <w:rFonts w:ascii="Verdana" w:eastAsia="Times New Roman" w:hAnsi="Verdana"/>
          <w:iCs/>
          <w:sz w:val="20"/>
          <w:szCs w:val="20"/>
          <w:lang w:val="bg-BG" w:eastAsia="bg-BG"/>
        </w:rPr>
        <w:t>застраховане на имущество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, собственост на </w:t>
      </w:r>
      <w:bookmarkEnd w:id="0"/>
      <w:r w:rsidRPr="006F73AF">
        <w:rPr>
          <w:rFonts w:ascii="Verdana" w:eastAsia="Times New Roman" w:hAnsi="Verdana" w:cs="Calibri"/>
          <w:sz w:val="20"/>
          <w:szCs w:val="20"/>
          <w:lang w:val="bg-BG"/>
        </w:rPr>
        <w:t>„ДЪРЖАВНА КОНСОЛИДАЦИОННА КОМПАНИЯ“ ЕАД (Дружеството и/или ДКК), за срок от една година.</w:t>
      </w:r>
    </w:p>
    <w:p w14:paraId="64853102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u w:val="single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I.</w:t>
      </w: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ab/>
        <w:t>Наименование и предмет на процедурата</w:t>
      </w:r>
    </w:p>
    <w:p w14:paraId="64B5F570" w14:textId="77777777" w:rsidR="0031289B" w:rsidRPr="00CC1C8B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>Избор на лицензиран застраховател</w:t>
      </w:r>
      <w:r>
        <w:rPr>
          <w:rFonts w:ascii="Verdana" w:eastAsia="Times New Roman" w:hAnsi="Verdana" w:cs="Calibri"/>
          <w:sz w:val="20"/>
          <w:szCs w:val="20"/>
          <w:lang w:val="bg-BG"/>
        </w:rPr>
        <w:t xml:space="preserve"> (застрахователно дружество) 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за сключване на договор за застраховане на имущество: </w:t>
      </w:r>
      <w:r w:rsidRPr="006F73AF">
        <w:rPr>
          <w:rFonts w:ascii="Verdana" w:eastAsia="Times New Roman" w:hAnsi="Verdana"/>
          <w:sz w:val="20"/>
          <w:szCs w:val="20"/>
          <w:lang w:val="bg-BG"/>
        </w:rPr>
        <w:t>недвижимо имущество (сграда и оборудване) и движимо имущество (офис-обзавеждане и офис-техника)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>, собственост на „ДЪРЖАВНА КОНСОЛИДАЦИОННА КОМПАНИЯ“ ЕАД.</w:t>
      </w:r>
      <w:bookmarkStart w:id="1" w:name="_Hlk129600768"/>
    </w:p>
    <w:p w14:paraId="3395B01E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u w:val="single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II</w:t>
      </w:r>
      <w:bookmarkEnd w:id="1"/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.</w:t>
      </w: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ab/>
        <w:t>Описание на обекта</w:t>
      </w:r>
    </w:p>
    <w:p w14:paraId="10922DFE" w14:textId="77777777" w:rsidR="0031289B" w:rsidRPr="00D8716B" w:rsidRDefault="0031289B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bookmarkStart w:id="2" w:name="_Hlk67391423"/>
      <w:r w:rsidRPr="006F73AF">
        <w:rPr>
          <w:rFonts w:ascii="Verdana" w:hAnsi="Verdana"/>
          <w:sz w:val="20"/>
          <w:szCs w:val="20"/>
          <w:lang w:val="bg-BG"/>
        </w:rPr>
        <w:t xml:space="preserve">Недвижимо и движимо имущество - </w:t>
      </w:r>
      <w:r w:rsidRPr="00D8716B">
        <w:rPr>
          <w:rFonts w:ascii="Verdana" w:hAnsi="Verdana"/>
          <w:sz w:val="20"/>
          <w:szCs w:val="20"/>
          <w:lang w:val="bg-BG"/>
        </w:rPr>
        <w:t>масивна четириетажна административна сграда със застроена площ 466,24 кв.м.</w:t>
      </w:r>
      <w:r w:rsidRPr="006F73AF">
        <w:rPr>
          <w:rFonts w:ascii="Verdana" w:hAnsi="Verdana"/>
          <w:sz w:val="20"/>
          <w:szCs w:val="20"/>
          <w:lang w:val="bg-BG"/>
        </w:rPr>
        <w:t>;</w:t>
      </w:r>
      <w:r w:rsidRPr="00D8716B">
        <w:rPr>
          <w:rFonts w:ascii="Verdana" w:hAnsi="Verdana"/>
          <w:sz w:val="20"/>
          <w:szCs w:val="20"/>
          <w:lang w:val="bg-BG"/>
        </w:rPr>
        <w:t xml:space="preserve"> сграда за БКТП 1х800 </w:t>
      </w:r>
      <w:r w:rsidRPr="006F73AF">
        <w:rPr>
          <w:rFonts w:ascii="Verdana" w:hAnsi="Verdana"/>
          <w:sz w:val="20"/>
          <w:szCs w:val="20"/>
        </w:rPr>
        <w:t>kVA</w:t>
      </w:r>
      <w:r w:rsidRPr="006F73AF">
        <w:rPr>
          <w:rFonts w:ascii="Verdana" w:hAnsi="Verdana"/>
          <w:sz w:val="20"/>
          <w:szCs w:val="20"/>
          <w:lang w:val="bg-BG"/>
        </w:rPr>
        <w:t xml:space="preserve">; </w:t>
      </w:r>
      <w:r w:rsidRPr="00D8716B">
        <w:rPr>
          <w:rFonts w:ascii="Verdana" w:hAnsi="Verdana"/>
          <w:sz w:val="20"/>
          <w:szCs w:val="20"/>
          <w:lang w:val="bg-BG"/>
        </w:rPr>
        <w:t>машини и съоръжения; офис-обзавеждане; офис-техника и др.</w:t>
      </w:r>
    </w:p>
    <w:p w14:paraId="52FB1A80" w14:textId="785F563D" w:rsidR="0031289B" w:rsidRPr="00403748" w:rsidRDefault="0031289B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bookmarkStart w:id="3" w:name="_Hlk160025246"/>
      <w:bookmarkEnd w:id="2"/>
      <w:r w:rsidRPr="00403748">
        <w:rPr>
          <w:rFonts w:ascii="Verdana" w:eastAsia="Times New Roman" w:hAnsi="Verdana"/>
          <w:sz w:val="20"/>
          <w:szCs w:val="20"/>
          <w:lang w:val="bg-BG"/>
        </w:rPr>
        <w:t xml:space="preserve">Стойността, на която следва да бъде застраховано имуществото на ДКК (Застрахователната сума) е в общ размер на </w:t>
      </w:r>
      <w:r w:rsidRPr="00403748">
        <w:rPr>
          <w:rFonts w:ascii="Verdana" w:eastAsia="Times New Roman" w:hAnsi="Verdana"/>
          <w:b/>
          <w:bCs/>
          <w:sz w:val="20"/>
          <w:szCs w:val="20"/>
          <w:lang w:val="bg-BG"/>
        </w:rPr>
        <w:t>2 7</w:t>
      </w:r>
      <w:r w:rsidR="007032B7">
        <w:rPr>
          <w:rFonts w:ascii="Verdana" w:eastAsia="Times New Roman" w:hAnsi="Verdana"/>
          <w:b/>
          <w:bCs/>
          <w:sz w:val="20"/>
          <w:szCs w:val="20"/>
          <w:lang w:val="bg-BG"/>
        </w:rPr>
        <w:t>31</w:t>
      </w:r>
      <w:r w:rsidRPr="00403748">
        <w:rPr>
          <w:rFonts w:ascii="Verdana" w:eastAsia="Times New Roman" w:hAnsi="Verdana"/>
          <w:b/>
          <w:bCs/>
          <w:sz w:val="20"/>
          <w:szCs w:val="20"/>
          <w:lang w:val="bg-BG"/>
        </w:rPr>
        <w:t xml:space="preserve"> </w:t>
      </w:r>
      <w:r w:rsidR="007032B7">
        <w:rPr>
          <w:rFonts w:ascii="Verdana" w:eastAsia="Times New Roman" w:hAnsi="Verdana"/>
          <w:b/>
          <w:bCs/>
          <w:sz w:val="20"/>
          <w:szCs w:val="20"/>
          <w:lang w:val="bg-BG"/>
        </w:rPr>
        <w:t>431.85</w:t>
      </w:r>
      <w:r w:rsidRPr="00403748">
        <w:rPr>
          <w:rFonts w:ascii="Verdana" w:eastAsia="Times New Roman" w:hAnsi="Verdana"/>
          <w:b/>
          <w:bCs/>
          <w:sz w:val="20"/>
          <w:szCs w:val="20"/>
          <w:lang w:val="bg-BG"/>
        </w:rPr>
        <w:t xml:space="preserve"> лева</w:t>
      </w:r>
      <w:r w:rsidRPr="00403748">
        <w:rPr>
          <w:rFonts w:ascii="Verdana" w:eastAsia="Times New Roman" w:hAnsi="Verdana"/>
          <w:sz w:val="20"/>
          <w:szCs w:val="20"/>
          <w:lang w:val="bg-BG"/>
        </w:rPr>
        <w:t>, както следва:</w:t>
      </w:r>
    </w:p>
    <w:p w14:paraId="0634874E" w14:textId="77777777" w:rsidR="0031289B" w:rsidRPr="00403748" w:rsidRDefault="0031289B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403748">
        <w:rPr>
          <w:rFonts w:ascii="Verdana" w:eastAsia="Times New Roman" w:hAnsi="Verdana"/>
          <w:sz w:val="20"/>
          <w:szCs w:val="20"/>
          <w:lang w:val="bg-BG"/>
        </w:rPr>
        <w:t>Възстановителна стойност на Административна сграда със застроена площ 466,24 кв.м. – 2 445 595 лв.</w:t>
      </w:r>
    </w:p>
    <w:p w14:paraId="283776E8" w14:textId="0CED6904" w:rsidR="0031289B" w:rsidRPr="00403748" w:rsidRDefault="0031289B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403748">
        <w:rPr>
          <w:rFonts w:ascii="Verdana" w:eastAsia="Times New Roman" w:hAnsi="Verdana"/>
          <w:sz w:val="20"/>
          <w:szCs w:val="20"/>
          <w:lang w:val="bg-BG"/>
        </w:rPr>
        <w:t xml:space="preserve">Отчетна стойност на Сграда за БКТП 1х800 kVA – 14 </w:t>
      </w:r>
      <w:r w:rsidR="007032B7">
        <w:rPr>
          <w:rFonts w:ascii="Verdana" w:eastAsia="Times New Roman" w:hAnsi="Verdana"/>
          <w:sz w:val="20"/>
          <w:szCs w:val="20"/>
          <w:lang w:val="bg-BG"/>
        </w:rPr>
        <w:t>575.60</w:t>
      </w:r>
      <w:r w:rsidRPr="00403748">
        <w:rPr>
          <w:rFonts w:ascii="Verdana" w:eastAsia="Times New Roman" w:hAnsi="Verdana"/>
          <w:sz w:val="20"/>
          <w:szCs w:val="20"/>
          <w:lang w:val="bg-BG"/>
        </w:rPr>
        <w:t xml:space="preserve"> лв. </w:t>
      </w:r>
    </w:p>
    <w:p w14:paraId="72D96544" w14:textId="448954F9" w:rsidR="0031289B" w:rsidRPr="00403748" w:rsidRDefault="0031289B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403748">
        <w:rPr>
          <w:rFonts w:ascii="Verdana" w:eastAsia="Times New Roman" w:hAnsi="Verdana"/>
          <w:sz w:val="20"/>
          <w:szCs w:val="20"/>
          <w:lang w:val="bg-BG"/>
        </w:rPr>
        <w:t xml:space="preserve">Балансова стойност на машини и съоръжения – </w:t>
      </w:r>
      <w:r w:rsidR="007032B7">
        <w:rPr>
          <w:rFonts w:ascii="Verdana" w:eastAsia="Times New Roman" w:hAnsi="Verdana"/>
          <w:sz w:val="20"/>
          <w:szCs w:val="20"/>
          <w:lang w:val="bg-BG"/>
        </w:rPr>
        <w:t>224 955.67</w:t>
      </w:r>
      <w:r w:rsidRPr="00403748">
        <w:rPr>
          <w:rFonts w:ascii="Verdana" w:eastAsia="Times New Roman" w:hAnsi="Verdana"/>
          <w:sz w:val="20"/>
          <w:szCs w:val="20"/>
          <w:lang w:val="bg-BG"/>
        </w:rPr>
        <w:t xml:space="preserve"> лв.</w:t>
      </w:r>
    </w:p>
    <w:p w14:paraId="190ECA61" w14:textId="35A5AEA3" w:rsidR="0031289B" w:rsidRPr="00403748" w:rsidRDefault="0031289B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403748">
        <w:rPr>
          <w:rFonts w:ascii="Verdana" w:eastAsia="Times New Roman" w:hAnsi="Verdana"/>
          <w:sz w:val="20"/>
          <w:szCs w:val="20"/>
          <w:lang w:val="bg-BG"/>
        </w:rPr>
        <w:t xml:space="preserve">Балансова стойност на стопански инвентар – </w:t>
      </w:r>
      <w:r w:rsidR="007032B7">
        <w:rPr>
          <w:rFonts w:ascii="Verdana" w:eastAsia="Times New Roman" w:hAnsi="Verdana"/>
          <w:sz w:val="20"/>
          <w:szCs w:val="20"/>
          <w:lang w:val="bg-BG"/>
        </w:rPr>
        <w:t>8908.</w:t>
      </w:r>
      <w:r w:rsidRPr="00403748">
        <w:rPr>
          <w:rFonts w:ascii="Verdana" w:eastAsia="Times New Roman" w:hAnsi="Verdana"/>
          <w:sz w:val="20"/>
          <w:szCs w:val="20"/>
          <w:lang w:val="bg-BG"/>
        </w:rPr>
        <w:t>2</w:t>
      </w:r>
      <w:r w:rsidR="007032B7">
        <w:rPr>
          <w:rFonts w:ascii="Verdana" w:eastAsia="Times New Roman" w:hAnsi="Verdana"/>
          <w:sz w:val="20"/>
          <w:szCs w:val="20"/>
          <w:lang w:val="bg-BG"/>
        </w:rPr>
        <w:t>0</w:t>
      </w:r>
      <w:r w:rsidRPr="00403748">
        <w:rPr>
          <w:rFonts w:ascii="Verdana" w:eastAsia="Times New Roman" w:hAnsi="Verdana"/>
          <w:sz w:val="20"/>
          <w:szCs w:val="20"/>
          <w:lang w:val="bg-BG"/>
        </w:rPr>
        <w:t xml:space="preserve"> лв.</w:t>
      </w:r>
    </w:p>
    <w:p w14:paraId="6776BBA2" w14:textId="443BF6EE" w:rsidR="0031289B" w:rsidRPr="00403748" w:rsidRDefault="0031289B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403748">
        <w:rPr>
          <w:rFonts w:ascii="Verdana" w:eastAsia="Times New Roman" w:hAnsi="Verdana"/>
          <w:sz w:val="20"/>
          <w:szCs w:val="20"/>
          <w:lang w:val="bg-BG"/>
        </w:rPr>
        <w:t xml:space="preserve">Балансова стойност на компютърна техника – 15 </w:t>
      </w:r>
      <w:r w:rsidR="007032B7">
        <w:rPr>
          <w:rFonts w:ascii="Verdana" w:eastAsia="Times New Roman" w:hAnsi="Verdana"/>
          <w:sz w:val="20"/>
          <w:szCs w:val="20"/>
          <w:lang w:val="bg-BG"/>
        </w:rPr>
        <w:t>659.75</w:t>
      </w:r>
      <w:r w:rsidRPr="00403748">
        <w:rPr>
          <w:rFonts w:ascii="Verdana" w:eastAsia="Times New Roman" w:hAnsi="Verdana"/>
          <w:sz w:val="20"/>
          <w:szCs w:val="20"/>
          <w:lang w:val="bg-BG"/>
        </w:rPr>
        <w:t xml:space="preserve"> лв. </w:t>
      </w:r>
    </w:p>
    <w:p w14:paraId="5109323B" w14:textId="3D040FBA" w:rsidR="0031289B" w:rsidRPr="00CC1C8B" w:rsidRDefault="0031289B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403748">
        <w:rPr>
          <w:rFonts w:ascii="Verdana" w:eastAsia="Times New Roman" w:hAnsi="Verdana"/>
          <w:sz w:val="20"/>
          <w:szCs w:val="20"/>
          <w:lang w:val="bg-BG"/>
        </w:rPr>
        <w:t xml:space="preserve">Балансова стойност на други ДМА – </w:t>
      </w:r>
      <w:r w:rsidR="007032B7">
        <w:rPr>
          <w:rFonts w:ascii="Verdana" w:eastAsia="Times New Roman" w:hAnsi="Verdana"/>
          <w:sz w:val="20"/>
          <w:szCs w:val="20"/>
          <w:lang w:val="bg-BG"/>
        </w:rPr>
        <w:t>21 737.6</w:t>
      </w:r>
      <w:r w:rsidRPr="00403748">
        <w:rPr>
          <w:rFonts w:ascii="Verdana" w:eastAsia="Times New Roman" w:hAnsi="Verdana"/>
          <w:sz w:val="20"/>
          <w:szCs w:val="20"/>
          <w:lang w:val="bg-BG"/>
        </w:rPr>
        <w:t>3 лв.</w:t>
      </w:r>
    </w:p>
    <w:bookmarkEnd w:id="3"/>
    <w:p w14:paraId="68D8EF5A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u w:val="single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III.</w:t>
      </w: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ab/>
        <w:t>Общи и специални условия</w:t>
      </w:r>
    </w:p>
    <w:p w14:paraId="65633B71" w14:textId="77777777" w:rsidR="0031289B" w:rsidRPr="00CE79D4" w:rsidRDefault="0031289B" w:rsidP="00CC1C8B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eastAsia="Times New Roman" w:hAnsi="Verdana"/>
          <w:iCs/>
          <w:sz w:val="20"/>
          <w:szCs w:val="20"/>
          <w:lang w:val="bg-BG" w:eastAsia="bg-BG"/>
        </w:rPr>
      </w:pPr>
      <w:r w:rsidRPr="00CE79D4">
        <w:rPr>
          <w:rFonts w:ascii="Verdana" w:eastAsia="Times New Roman" w:hAnsi="Verdana"/>
          <w:iCs/>
          <w:sz w:val="20"/>
          <w:szCs w:val="20"/>
          <w:lang w:val="bg-BG" w:eastAsia="bg-BG"/>
        </w:rPr>
        <w:t xml:space="preserve">Обхватът на покритите рискове задължително следва да включва: пожар, експлозия, удар от мълния, буря, градушка, наводнение, земетресение, </w:t>
      </w:r>
      <w:r w:rsidRPr="00CE79D4">
        <w:rPr>
          <w:rFonts w:ascii="Verdana" w:eastAsia="Times New Roman" w:hAnsi="Verdana" w:cs="Verdana"/>
          <w:sz w:val="20"/>
          <w:szCs w:val="20"/>
          <w:lang w:val="bg-BG"/>
        </w:rPr>
        <w:t>вандализъм, злоумишлени действия на трети лица, тежест от естествено натрупване на сняг и лед, наводнение в резултат на авария на водопроводната, канализационната и други сградни инсталации, удар от ППС</w:t>
      </w:r>
      <w:r w:rsidRPr="00CE79D4">
        <w:rPr>
          <w:rFonts w:ascii="Verdana" w:eastAsia="Times New Roman" w:hAnsi="Verdana"/>
          <w:iCs/>
          <w:sz w:val="20"/>
          <w:szCs w:val="20"/>
          <w:lang w:val="bg-BG" w:eastAsia="bg-BG"/>
        </w:rPr>
        <w:t>, като се застраховат и разходите за предотвратяване или ограничаване на разрушителното действие на застрахователното събитие.</w:t>
      </w:r>
    </w:p>
    <w:p w14:paraId="2AEC3F89" w14:textId="77777777" w:rsidR="0031289B" w:rsidRPr="00CE79D4" w:rsidRDefault="0031289B" w:rsidP="00CC1C8B">
      <w:pPr>
        <w:ind w:firstLine="708"/>
        <w:jc w:val="both"/>
        <w:rPr>
          <w:rFonts w:ascii="Verdana" w:eastAsia="Times New Roman" w:hAnsi="Verdana" w:cs="Verdana"/>
          <w:sz w:val="20"/>
          <w:szCs w:val="20"/>
          <w:lang w:val="bg-BG"/>
        </w:rPr>
      </w:pPr>
      <w:r w:rsidRPr="00CE79D4">
        <w:rPr>
          <w:rFonts w:ascii="Verdana" w:eastAsia="Times New Roman" w:hAnsi="Verdana" w:cs="Verdana"/>
          <w:sz w:val="20"/>
          <w:szCs w:val="20"/>
          <w:lang w:val="bg-BG"/>
        </w:rPr>
        <w:t>Не се допуска самоучастие на застрахования, в случай на настъпване на застрахователно събитие.</w:t>
      </w:r>
    </w:p>
    <w:p w14:paraId="444E2A4F" w14:textId="77777777" w:rsidR="0031289B" w:rsidRPr="00CE79D4" w:rsidRDefault="0031289B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CE79D4">
        <w:rPr>
          <w:rFonts w:ascii="Verdana" w:eastAsia="Times New Roman" w:hAnsi="Verdana" w:cs="Calibri"/>
          <w:sz w:val="20"/>
          <w:szCs w:val="20"/>
          <w:lang w:val="bg-BG"/>
        </w:rPr>
        <w:t>Не се допуска лимит на отговорността на застрахователя под застрахователната сума.</w:t>
      </w:r>
    </w:p>
    <w:p w14:paraId="05B9F3BE" w14:textId="77777777" w:rsidR="0031289B" w:rsidRPr="00CC1C8B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IV.</w:t>
      </w:r>
      <w:r w:rsidR="0031289B">
        <w:rPr>
          <w:rFonts w:ascii="Verdana" w:eastAsia="Times New Roman" w:hAnsi="Verdana" w:cs="Calibri"/>
          <w:sz w:val="20"/>
          <w:szCs w:val="20"/>
          <w:u w:val="single"/>
          <w:lang w:val="bg-BG"/>
        </w:rPr>
        <w:t xml:space="preserve"> </w:t>
      </w: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Срок на застраховката: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 Дванадесет месеца</w:t>
      </w:r>
      <w:r w:rsidRPr="006F73AF">
        <w:rPr>
          <w:rFonts w:ascii="Verdana" w:eastAsia="Times New Roman" w:hAnsi="Verdana"/>
          <w:sz w:val="20"/>
          <w:szCs w:val="20"/>
          <w:lang w:val="bg-BG" w:eastAsia="bg-BG" w:bidi="bg-BG"/>
        </w:rPr>
        <w:t xml:space="preserve">, 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>считано от датата на подписване на полицата.</w:t>
      </w:r>
    </w:p>
    <w:p w14:paraId="49C867BC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u w:val="single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V. Съдържание на офертата.</w:t>
      </w:r>
    </w:p>
    <w:p w14:paraId="420BB2FA" w14:textId="77777777" w:rsidR="00403748" w:rsidRDefault="002B59B9" w:rsidP="00403748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/>
          <w:iCs/>
          <w:sz w:val="20"/>
          <w:szCs w:val="20"/>
          <w:lang w:val="bg-BG" w:eastAsia="bg-BG"/>
        </w:rPr>
      </w:pPr>
      <w:r w:rsidRPr="006F73AF">
        <w:rPr>
          <w:rFonts w:ascii="Verdana" w:eastAsia="Times New Roman" w:hAnsi="Verdana"/>
          <w:bCs/>
          <w:iCs/>
          <w:sz w:val="20"/>
          <w:szCs w:val="20"/>
          <w:lang w:val="bg-BG" w:eastAsia="bg-BG"/>
        </w:rPr>
        <w:t xml:space="preserve">Кратко </w:t>
      </w:r>
      <w:r w:rsidRPr="006F73AF">
        <w:rPr>
          <w:rFonts w:ascii="Verdana" w:eastAsia="Times New Roman" w:hAnsi="Verdana"/>
          <w:iCs/>
          <w:sz w:val="20"/>
          <w:szCs w:val="20"/>
          <w:lang w:val="bg-BG" w:eastAsia="bg-BG"/>
        </w:rPr>
        <w:t>представяне на застрахователната компания.</w:t>
      </w:r>
    </w:p>
    <w:p w14:paraId="7C8D38C5" w14:textId="77777777" w:rsidR="00AA3F5F" w:rsidRDefault="002B59B9" w:rsidP="00AA3F5F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/>
          <w:iCs/>
          <w:sz w:val="20"/>
          <w:szCs w:val="20"/>
          <w:lang w:val="bg-BG" w:eastAsia="bg-BG"/>
        </w:rPr>
      </w:pPr>
      <w:r w:rsidRPr="00403748">
        <w:rPr>
          <w:rFonts w:ascii="Verdana" w:eastAsia="Times New Roman" w:hAnsi="Verdana" w:cs="Calibri"/>
          <w:sz w:val="20"/>
          <w:szCs w:val="20"/>
          <w:lang w:val="bg-BG"/>
        </w:rPr>
        <w:t>Лиценз за извършване на застрахователна дейност, издаден по реда на Кодекса за застраховането – копие, заверено от участника;</w:t>
      </w:r>
    </w:p>
    <w:p w14:paraId="1DBA34B5" w14:textId="77777777" w:rsidR="00AA3F5F" w:rsidRDefault="002B59B9" w:rsidP="00AA3F5F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/>
          <w:iCs/>
          <w:sz w:val="20"/>
          <w:szCs w:val="20"/>
          <w:lang w:val="bg-BG" w:eastAsia="bg-BG"/>
        </w:rPr>
      </w:pPr>
      <w:r w:rsidRPr="00AA3F5F">
        <w:rPr>
          <w:rFonts w:ascii="Verdana" w:eastAsia="Times New Roman" w:hAnsi="Verdana" w:cs="Calibri"/>
          <w:sz w:val="20"/>
          <w:szCs w:val="20"/>
          <w:lang w:val="bg-BG"/>
        </w:rPr>
        <w:t>Декларация/документ удостоверяваща че кандидатът не е в ликвидация, несъстоятелност или в съответната процедура по обявяване;</w:t>
      </w:r>
    </w:p>
    <w:p w14:paraId="3CCA4094" w14:textId="77777777" w:rsidR="00AA3F5F" w:rsidRDefault="002B59B9" w:rsidP="00AA3F5F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/>
          <w:iCs/>
          <w:sz w:val="20"/>
          <w:szCs w:val="20"/>
          <w:lang w:val="bg-BG" w:eastAsia="bg-BG"/>
        </w:rPr>
      </w:pPr>
      <w:r w:rsidRPr="00AA3F5F">
        <w:rPr>
          <w:rFonts w:ascii="Verdana" w:eastAsia="Times New Roman" w:hAnsi="Verdana" w:cs="Calibri"/>
          <w:sz w:val="20"/>
          <w:szCs w:val="20"/>
          <w:lang w:val="bg-BG"/>
        </w:rPr>
        <w:t>Заверени счетоводен баланс и отчет за приходите и разходите на кандидата за предходната година, от които да е виден размерът на собствения капитал, както и приходите от застрахователни премии.</w:t>
      </w:r>
    </w:p>
    <w:p w14:paraId="13929FEB" w14:textId="77777777" w:rsidR="00AA3F5F" w:rsidRDefault="002B59B9" w:rsidP="00AA3F5F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/>
          <w:iCs/>
          <w:sz w:val="20"/>
          <w:szCs w:val="20"/>
          <w:lang w:val="bg-BG" w:eastAsia="bg-BG"/>
        </w:rPr>
      </w:pPr>
      <w:r w:rsidRPr="00AA3F5F">
        <w:rPr>
          <w:rFonts w:ascii="Verdana" w:eastAsia="Times New Roman" w:hAnsi="Verdana"/>
          <w:iCs/>
          <w:sz w:val="20"/>
          <w:szCs w:val="20"/>
          <w:lang w:val="bg-BG" w:eastAsia="bg-BG"/>
        </w:rPr>
        <w:lastRenderedPageBreak/>
        <w:t xml:space="preserve">Конкретни предложения за обхват на покритите рискове, които следва да включват задължително посочените в общите и специалните условия по т. </w:t>
      </w:r>
      <w:r w:rsidRPr="00AA3F5F">
        <w:rPr>
          <w:rFonts w:ascii="Verdana" w:eastAsia="Times New Roman" w:hAnsi="Verdana" w:cs="Calibri"/>
          <w:sz w:val="20"/>
          <w:szCs w:val="20"/>
          <w:lang w:val="bg-BG"/>
        </w:rPr>
        <w:t>III</w:t>
      </w:r>
      <w:r w:rsidRPr="00AA3F5F">
        <w:rPr>
          <w:rFonts w:ascii="Verdana" w:eastAsia="Times New Roman" w:hAnsi="Verdana"/>
          <w:iCs/>
          <w:sz w:val="20"/>
          <w:szCs w:val="20"/>
          <w:lang w:val="bg-BG" w:eastAsia="bg-BG"/>
        </w:rPr>
        <w:t xml:space="preserve"> по-горе.</w:t>
      </w:r>
    </w:p>
    <w:p w14:paraId="3D6F260F" w14:textId="77777777" w:rsidR="00AA3F5F" w:rsidRDefault="002B59B9" w:rsidP="00AA3F5F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/>
          <w:iCs/>
          <w:sz w:val="20"/>
          <w:szCs w:val="20"/>
          <w:lang w:val="bg-BG" w:eastAsia="bg-BG"/>
        </w:rPr>
      </w:pPr>
      <w:r w:rsidRPr="00AA3F5F">
        <w:rPr>
          <w:rFonts w:ascii="Verdana" w:eastAsia="Times New Roman" w:hAnsi="Verdana"/>
          <w:iCs/>
          <w:sz w:val="20"/>
          <w:szCs w:val="20"/>
          <w:lang w:val="bg-BG" w:eastAsia="bg-BG"/>
        </w:rPr>
        <w:t>Размер на дължимата реална застрахователна премия, начин и условия на плащане</w:t>
      </w:r>
      <w:r w:rsidRPr="00AA3F5F">
        <w:rPr>
          <w:rFonts w:ascii="Verdana" w:eastAsia="Times New Roman" w:hAnsi="Verdana" w:cs="Calibri"/>
          <w:sz w:val="20"/>
          <w:szCs w:val="20"/>
          <w:lang w:val="bg-BG"/>
        </w:rPr>
        <w:t>.</w:t>
      </w:r>
    </w:p>
    <w:p w14:paraId="399BB651" w14:textId="77777777" w:rsidR="00AA3F5F" w:rsidRDefault="002B59B9" w:rsidP="00AA3F5F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/>
          <w:iCs/>
          <w:sz w:val="20"/>
          <w:szCs w:val="20"/>
          <w:lang w:val="bg-BG" w:eastAsia="bg-BG"/>
        </w:rPr>
      </w:pPr>
      <w:r w:rsidRPr="00AA3F5F">
        <w:rPr>
          <w:rFonts w:ascii="Verdana" w:eastAsia="Times New Roman" w:hAnsi="Verdana"/>
          <w:iCs/>
          <w:sz w:val="20"/>
          <w:szCs w:val="20"/>
          <w:lang w:val="bg-BG" w:eastAsia="bg-BG"/>
        </w:rPr>
        <w:t>Отстъпки и преференциални условия.</w:t>
      </w:r>
    </w:p>
    <w:p w14:paraId="2D1679AB" w14:textId="08BC447A" w:rsidR="002B59B9" w:rsidRPr="00AA3F5F" w:rsidRDefault="002B59B9" w:rsidP="00AA3F5F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/>
          <w:iCs/>
          <w:sz w:val="20"/>
          <w:szCs w:val="20"/>
          <w:lang w:val="bg-BG" w:eastAsia="bg-BG"/>
        </w:rPr>
      </w:pPr>
      <w:r w:rsidRPr="00AA3F5F">
        <w:rPr>
          <w:rFonts w:ascii="Verdana" w:hAnsi="Verdana" w:cs="Calibri"/>
          <w:sz w:val="20"/>
          <w:szCs w:val="20"/>
          <w:lang w:val="bg-BG"/>
        </w:rPr>
        <w:t>Общи условия на предлаганата застраховка.</w:t>
      </w:r>
    </w:p>
    <w:p w14:paraId="524653AF" w14:textId="77777777" w:rsidR="0031289B" w:rsidRPr="00CC1C8B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>Всички документи в офертата следва да се представят на български език и да бъдат подписани от законния представител на участника или упълномощено от него лице с нотариално заверено пълномощно. Документите, представени във вид на ксерокопия, следва да бъдат заверени с „Вярно с оригинала”, име, фамилия, подпис на лицето/ата, представляващо/и участника и мокър печат.</w:t>
      </w:r>
    </w:p>
    <w:p w14:paraId="6F05541C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u w:val="single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VI. Представяне на офертите.</w:t>
      </w:r>
    </w:p>
    <w:p w14:paraId="3A78B9D2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>1. Начин на представяне на офертите.</w:t>
      </w:r>
    </w:p>
    <w:p w14:paraId="447D8CAC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>Офертите се представят в запечатан, непрозрачен и с ненарушена цялост плик. В плика се окомплектоват всички документи, посочени в т. V.</w:t>
      </w:r>
    </w:p>
    <w:p w14:paraId="1F8A8518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Върху плика с офертата се поставя следния надпис: (1) Оферта за участие в процедура за избор на застраховател за </w:t>
      </w:r>
      <w:r w:rsidRPr="006F73AF">
        <w:rPr>
          <w:rFonts w:ascii="Verdana" w:eastAsia="Times New Roman" w:hAnsi="Verdana"/>
          <w:iCs/>
          <w:sz w:val="20"/>
          <w:szCs w:val="20"/>
          <w:lang w:val="bg-BG" w:eastAsia="bg-BG"/>
        </w:rPr>
        <w:t>застраховане на имущество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>, собственост на „ДЪРЖАВНА КОНСОЛИДАЦИОННА КОМПАНИЯ” ЕАД”; (2) име на участника; (3) адрес за кореспонденция, телефон и електронен адрес.</w:t>
      </w:r>
    </w:p>
    <w:p w14:paraId="20209EB2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>2. Място и срок на представяне на офертите.</w:t>
      </w:r>
    </w:p>
    <w:p w14:paraId="1E74D640" w14:textId="1C405DDC" w:rsidR="002B59B9" w:rsidRPr="0020351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b/>
          <w:bCs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Офертите се представят в деловодството на „ДЪРЖАВНА КОНСОЛИДАЦИОННА КОМПАНИЯ” ЕАД, находящо се в административната сграда на Дружеството в гр. София 1113, район Изгрев, ул. „Тинтява” № 86, </w:t>
      </w:r>
      <w:bookmarkStart w:id="4" w:name="_Hlk57379197"/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всеки работен ден, </w:t>
      </w:r>
      <w:bookmarkEnd w:id="4"/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в срок </w:t>
      </w:r>
      <w:r w:rsidRPr="0020351F">
        <w:rPr>
          <w:rFonts w:ascii="Verdana" w:eastAsia="Times New Roman" w:hAnsi="Verdana" w:cs="Calibri"/>
          <w:sz w:val="20"/>
          <w:szCs w:val="20"/>
          <w:lang w:val="bg-BG"/>
        </w:rPr>
        <w:t xml:space="preserve">до </w:t>
      </w:r>
      <w:r w:rsidRPr="0020351F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 xml:space="preserve">17.00 часа на </w:t>
      </w:r>
      <w:r w:rsidR="00D8716B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>2</w:t>
      </w:r>
      <w:r w:rsidR="00ED1786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>9</w:t>
      </w:r>
      <w:r w:rsidR="0031289B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>.0</w:t>
      </w:r>
      <w:r w:rsidR="00D8716B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>3</w:t>
      </w:r>
      <w:r w:rsidR="0031289B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>.</w:t>
      </w:r>
      <w:r w:rsidRPr="0020351F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>202</w:t>
      </w:r>
      <w:r w:rsidR="00D8716B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>4</w:t>
      </w:r>
      <w:r w:rsidRPr="0020351F">
        <w:rPr>
          <w:rFonts w:ascii="Verdana" w:eastAsia="Times New Roman" w:hAnsi="Verdana" w:cs="Calibri"/>
          <w:b/>
          <w:bCs/>
          <w:sz w:val="20"/>
          <w:szCs w:val="20"/>
          <w:lang w:val="bg-BG"/>
        </w:rPr>
        <w:t xml:space="preserve"> г.</w:t>
      </w:r>
    </w:p>
    <w:p w14:paraId="034C28F3" w14:textId="77777777" w:rsidR="0031289B" w:rsidRPr="00CC1C8B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20351F">
        <w:rPr>
          <w:rFonts w:ascii="Verdana" w:eastAsia="Times New Roman" w:hAnsi="Verdana" w:cs="Calibri"/>
          <w:sz w:val="20"/>
          <w:szCs w:val="20"/>
          <w:lang w:val="bg-BG"/>
        </w:rPr>
        <w:t>Оферти след указания срок не се приемат.</w:t>
      </w:r>
    </w:p>
    <w:p w14:paraId="1BCBA1A2" w14:textId="77777777" w:rsidR="0031289B" w:rsidRPr="00CC1C8B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VІІ. Срок на валидност на офертите: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 не по-малко от 60 (шестдесет) календарни дни от крайния срок за представянето им.</w:t>
      </w:r>
    </w:p>
    <w:p w14:paraId="6E0495E6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u w:val="single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VІІI. Оценяване и класиране на офертите.</w:t>
      </w:r>
    </w:p>
    <w:p w14:paraId="40F7856D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>1. Няма да бъдат оценявани и класирани оферти, които не отговарят на посочените изисквания или към които не са приложени документи, описани в т. V  по-горе.</w:t>
      </w:r>
    </w:p>
    <w:p w14:paraId="72C67D96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>2. Начин и ред за класиране.</w:t>
      </w:r>
    </w:p>
    <w:p w14:paraId="43CCDF46" w14:textId="77777777" w:rsidR="002B59B9" w:rsidRPr="006F73AF" w:rsidRDefault="002B59B9" w:rsidP="00CC1C8B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eastAsia="Times New Roman" w:hAnsi="Verdana"/>
          <w:iCs/>
          <w:sz w:val="20"/>
          <w:szCs w:val="20"/>
          <w:lang w:val="bg-BG" w:eastAsia="bg-BG"/>
        </w:rPr>
      </w:pPr>
      <w:r w:rsidRPr="006F73AF">
        <w:rPr>
          <w:rFonts w:ascii="Verdana" w:eastAsia="Times New Roman" w:hAnsi="Verdana"/>
          <w:iCs/>
          <w:sz w:val="20"/>
          <w:szCs w:val="20"/>
          <w:lang w:val="bg-BG" w:eastAsia="bg-BG"/>
        </w:rPr>
        <w:t xml:space="preserve">Класирането ще се извърши по критерия </w:t>
      </w:r>
      <w:r w:rsidRPr="006F73AF">
        <w:rPr>
          <w:rFonts w:ascii="Verdana" w:eastAsia="Times New Roman" w:hAnsi="Verdana"/>
          <w:bCs/>
          <w:iCs/>
          <w:sz w:val="20"/>
          <w:szCs w:val="20"/>
          <w:lang w:val="bg-BG" w:eastAsia="bg-BG"/>
        </w:rPr>
        <w:t>„най-ниска цена”, представляваща най-нисък размер на реалната застрахователна премия, с включени отстъпки и преференциални условия, както и възможност за разсрочено плащане /на вноски/.</w:t>
      </w:r>
    </w:p>
    <w:p w14:paraId="259E5CF8" w14:textId="77777777" w:rsidR="0031289B" w:rsidRPr="00CC1C8B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>3. За направения избор всички участници, подали оферти, ще бъдат уведомени.</w:t>
      </w:r>
    </w:p>
    <w:p w14:paraId="47615615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u w:val="single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u w:val="single"/>
          <w:lang w:val="bg-BG"/>
        </w:rPr>
        <w:t>IX. Допълнителна информация.</w:t>
      </w:r>
    </w:p>
    <w:p w14:paraId="7C30421C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>„ДЪРЖАВНА КОНСОЛИДАЦИОННА КОМПАНИЯ” ЕАД си запазва възможността да изменя условията на настоящата процедура, да променя сроковете, да определя нови, както и да спира или прекратява процедурата, за което участниците ще бъдат своевременно уведомени. Във всички подобни случаи „ДЪРЖАВНА КОНСОЛИДАЦИОННА КОМПАНИЯ” ЕАД не дължи каквито и да било плащания на кандидатите и не е обвързано с каквито и да било други ангажименти към тях, включително за сключване на договор.</w:t>
      </w:r>
    </w:p>
    <w:p w14:paraId="62652E3F" w14:textId="77777777" w:rsidR="002B59B9" w:rsidRPr="006F73AF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>„ДЪРЖАВНА КОНСОЛИДАЦИОННА КОМПАНИЯ” ЕАД уведомява всички участници, че изборът на застраховател и</w:t>
      </w:r>
      <w:r w:rsidR="001E2A79">
        <w:rPr>
          <w:rFonts w:ascii="Verdana" w:eastAsia="Times New Roman" w:hAnsi="Verdana" w:cs="Calibri"/>
          <w:sz w:val="20"/>
          <w:szCs w:val="20"/>
          <w:lang w:val="bg-BG"/>
        </w:rPr>
        <w:t xml:space="preserve"> 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>договор</w:t>
      </w:r>
      <w:r w:rsidR="001E2A79">
        <w:rPr>
          <w:rFonts w:ascii="Verdana" w:eastAsia="Times New Roman" w:hAnsi="Verdana" w:cs="Calibri"/>
          <w:sz w:val="20"/>
          <w:szCs w:val="20"/>
          <w:lang w:val="bg-BG"/>
        </w:rPr>
        <w:t>ът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>, подлежат на одобрение от министъра на икономиката</w:t>
      </w:r>
      <w:r>
        <w:rPr>
          <w:rFonts w:ascii="Verdana" w:eastAsia="Times New Roman" w:hAnsi="Verdana" w:cs="Calibri"/>
          <w:sz w:val="20"/>
          <w:szCs w:val="20"/>
          <w:lang w:val="bg-BG"/>
        </w:rPr>
        <w:t xml:space="preserve"> и индустрията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, съответно ще сключи договор с одобрения застраховател след получаване на одобрението.  </w:t>
      </w:r>
    </w:p>
    <w:p w14:paraId="5EAC0D50" w14:textId="77777777" w:rsidR="00550A70" w:rsidRPr="00DD5D96" w:rsidRDefault="002B59B9" w:rsidP="00CC1C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6F73AF">
        <w:rPr>
          <w:rFonts w:ascii="Verdana" w:eastAsia="Times New Roman" w:hAnsi="Verdana" w:cs="Calibri"/>
          <w:sz w:val="20"/>
          <w:szCs w:val="20"/>
          <w:lang w:val="bg-BG"/>
        </w:rPr>
        <w:t xml:space="preserve">Оглед на обекта (имуществото), предмет на </w:t>
      </w:r>
      <w:r>
        <w:rPr>
          <w:rFonts w:ascii="Verdana" w:eastAsia="Times New Roman" w:hAnsi="Verdana" w:cs="Calibri"/>
          <w:sz w:val="20"/>
          <w:szCs w:val="20"/>
          <w:lang w:val="bg-BG"/>
        </w:rPr>
        <w:t>настоящата процедура</w:t>
      </w:r>
      <w:r w:rsidRPr="006F73AF">
        <w:rPr>
          <w:rFonts w:ascii="Verdana" w:eastAsia="Times New Roman" w:hAnsi="Verdana" w:cs="Calibri"/>
          <w:sz w:val="20"/>
          <w:szCs w:val="20"/>
          <w:lang w:val="bg-BG"/>
        </w:rPr>
        <w:t>, може да се извършва всеки работен ден (09.00 до 17.00 часа) до деня, предхождащ крайния срок за подаване на офертите, след предварителна уговорка на тел.</w:t>
      </w:r>
      <w:r w:rsidRPr="006F73AF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="00073A86">
        <w:rPr>
          <w:rFonts w:ascii="Verdana" w:eastAsia="Times New Roman" w:hAnsi="Verdana" w:cs="Calibri"/>
          <w:sz w:val="20"/>
          <w:szCs w:val="20"/>
          <w:lang w:val="bg-BG"/>
        </w:rPr>
        <w:t xml:space="preserve">+ 359 </w:t>
      </w:r>
      <w:r w:rsidR="00073A86" w:rsidRPr="006F73AF">
        <w:rPr>
          <w:rFonts w:ascii="Verdana" w:eastAsia="Times New Roman" w:hAnsi="Verdana"/>
          <w:sz w:val="20"/>
          <w:szCs w:val="20"/>
          <w:lang w:val="bg-BG"/>
        </w:rPr>
        <w:t>884 115 944</w:t>
      </w:r>
      <w:r w:rsidR="00073A86" w:rsidRPr="006F73AF">
        <w:rPr>
          <w:rFonts w:ascii="Verdana" w:eastAsia="Times New Roman" w:hAnsi="Verdana" w:cs="Calibri"/>
          <w:sz w:val="20"/>
          <w:szCs w:val="20"/>
          <w:lang w:val="bg-BG"/>
        </w:rPr>
        <w:t>.</w:t>
      </w:r>
    </w:p>
    <w:sectPr w:rsidR="00550A70" w:rsidRPr="00DD5D96" w:rsidSect="0031289B">
      <w:footerReference w:type="default" r:id="rId8"/>
      <w:headerReference w:type="first" r:id="rId9"/>
      <w:pgSz w:w="11901" w:h="16840"/>
      <w:pgMar w:top="2242" w:right="1461" w:bottom="136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545D" w14:textId="77777777" w:rsidR="00B74842" w:rsidRDefault="00B74842" w:rsidP="009A7E86">
      <w:r>
        <w:separator/>
      </w:r>
    </w:p>
  </w:endnote>
  <w:endnote w:type="continuationSeparator" w:id="0">
    <w:p w14:paraId="5C74F76F" w14:textId="77777777" w:rsidR="00B74842" w:rsidRDefault="00B74842" w:rsidP="009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E29" w14:textId="77777777" w:rsidR="00E6518B" w:rsidRDefault="00E6518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F0994" w:rsidRPr="002F0994">
      <w:rPr>
        <w:noProof/>
        <w:lang w:val="bg-BG"/>
      </w:rPr>
      <w:t>3</w:t>
    </w:r>
    <w:r>
      <w:fldChar w:fldCharType="end"/>
    </w:r>
  </w:p>
  <w:p w14:paraId="41147989" w14:textId="77777777" w:rsidR="00E6518B" w:rsidRDefault="00E65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EE8C" w14:textId="77777777" w:rsidR="00B74842" w:rsidRDefault="00B74842" w:rsidP="009A7E86">
      <w:r>
        <w:separator/>
      </w:r>
    </w:p>
  </w:footnote>
  <w:footnote w:type="continuationSeparator" w:id="0">
    <w:p w14:paraId="5CD9128A" w14:textId="77777777" w:rsidR="00B74842" w:rsidRDefault="00B74842" w:rsidP="009A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FA2C" w14:textId="4B274464" w:rsidR="002D6C81" w:rsidRDefault="005204B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EDD689" wp14:editId="6DAE19F9">
          <wp:simplePos x="0" y="0"/>
          <wp:positionH relativeFrom="margin">
            <wp:posOffset>1264920</wp:posOffset>
          </wp:positionH>
          <wp:positionV relativeFrom="paragraph">
            <wp:posOffset>-227965</wp:posOffset>
          </wp:positionV>
          <wp:extent cx="3009900" cy="1024890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24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549AA" w14:textId="77777777" w:rsidR="002D6C81" w:rsidRDefault="002D6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3AB"/>
    <w:multiLevelType w:val="hybridMultilevel"/>
    <w:tmpl w:val="1D0250A0"/>
    <w:lvl w:ilvl="0" w:tplc="5942C0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A0304"/>
    <w:multiLevelType w:val="hybridMultilevel"/>
    <w:tmpl w:val="9FEE00E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F65077"/>
    <w:multiLevelType w:val="multilevel"/>
    <w:tmpl w:val="39BC7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D778C"/>
    <w:multiLevelType w:val="multilevel"/>
    <w:tmpl w:val="1EB45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F273A"/>
    <w:multiLevelType w:val="hybridMultilevel"/>
    <w:tmpl w:val="2D9AB0DE"/>
    <w:lvl w:ilvl="0" w:tplc="F03AA8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536F32"/>
    <w:multiLevelType w:val="multilevel"/>
    <w:tmpl w:val="567E7B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0D178C"/>
    <w:multiLevelType w:val="hybridMultilevel"/>
    <w:tmpl w:val="0CC67D4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0A0361"/>
    <w:multiLevelType w:val="hybridMultilevel"/>
    <w:tmpl w:val="60ACFFAE"/>
    <w:lvl w:ilvl="0" w:tplc="6BFACE86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15293D"/>
    <w:multiLevelType w:val="hybridMultilevel"/>
    <w:tmpl w:val="D0B09B76"/>
    <w:lvl w:ilvl="0" w:tplc="DA1A94B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7828109">
    <w:abstractNumId w:val="0"/>
  </w:num>
  <w:num w:numId="2" w16cid:durableId="1677418578">
    <w:abstractNumId w:val="1"/>
  </w:num>
  <w:num w:numId="3" w16cid:durableId="1814523148">
    <w:abstractNumId w:val="6"/>
  </w:num>
  <w:num w:numId="4" w16cid:durableId="756097971">
    <w:abstractNumId w:val="7"/>
  </w:num>
  <w:num w:numId="5" w16cid:durableId="1226142934">
    <w:abstractNumId w:val="4"/>
  </w:num>
  <w:num w:numId="6" w16cid:durableId="248850967">
    <w:abstractNumId w:val="8"/>
  </w:num>
  <w:num w:numId="7" w16cid:durableId="2050105402">
    <w:abstractNumId w:val="2"/>
  </w:num>
  <w:num w:numId="8" w16cid:durableId="181364891">
    <w:abstractNumId w:val="5"/>
  </w:num>
  <w:num w:numId="9" w16cid:durableId="1276330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81"/>
    <w:rsid w:val="00015603"/>
    <w:rsid w:val="00020C5F"/>
    <w:rsid w:val="000444C6"/>
    <w:rsid w:val="00057DE6"/>
    <w:rsid w:val="00071032"/>
    <w:rsid w:val="00073A86"/>
    <w:rsid w:val="00082C34"/>
    <w:rsid w:val="00084937"/>
    <w:rsid w:val="000A138F"/>
    <w:rsid w:val="000B05FF"/>
    <w:rsid w:val="000C1647"/>
    <w:rsid w:val="000D0B02"/>
    <w:rsid w:val="00100144"/>
    <w:rsid w:val="00104B92"/>
    <w:rsid w:val="00104EA0"/>
    <w:rsid w:val="00115B89"/>
    <w:rsid w:val="00117E0D"/>
    <w:rsid w:val="00151064"/>
    <w:rsid w:val="00173C65"/>
    <w:rsid w:val="001854A8"/>
    <w:rsid w:val="001903A1"/>
    <w:rsid w:val="00193064"/>
    <w:rsid w:val="00193414"/>
    <w:rsid w:val="00197FF0"/>
    <w:rsid w:val="001C2803"/>
    <w:rsid w:val="001D4C5D"/>
    <w:rsid w:val="001E2A79"/>
    <w:rsid w:val="0020089F"/>
    <w:rsid w:val="00214206"/>
    <w:rsid w:val="00226EEC"/>
    <w:rsid w:val="0023183B"/>
    <w:rsid w:val="0026426E"/>
    <w:rsid w:val="00270E23"/>
    <w:rsid w:val="002A4BA0"/>
    <w:rsid w:val="002A7415"/>
    <w:rsid w:val="002B59B9"/>
    <w:rsid w:val="002B676F"/>
    <w:rsid w:val="002C4426"/>
    <w:rsid w:val="002C7A02"/>
    <w:rsid w:val="002D2FC3"/>
    <w:rsid w:val="002D6C81"/>
    <w:rsid w:val="002F0994"/>
    <w:rsid w:val="0030774A"/>
    <w:rsid w:val="0031289B"/>
    <w:rsid w:val="00315034"/>
    <w:rsid w:val="00322FD9"/>
    <w:rsid w:val="00356D1E"/>
    <w:rsid w:val="00386FFB"/>
    <w:rsid w:val="003A6E17"/>
    <w:rsid w:val="003B21CE"/>
    <w:rsid w:val="003B4AAD"/>
    <w:rsid w:val="003C11DD"/>
    <w:rsid w:val="003E22BE"/>
    <w:rsid w:val="003E398F"/>
    <w:rsid w:val="003F1D6C"/>
    <w:rsid w:val="003F5B2F"/>
    <w:rsid w:val="00403748"/>
    <w:rsid w:val="0040489A"/>
    <w:rsid w:val="004314C7"/>
    <w:rsid w:val="00440558"/>
    <w:rsid w:val="004462B1"/>
    <w:rsid w:val="0049574B"/>
    <w:rsid w:val="004D05A7"/>
    <w:rsid w:val="004D302C"/>
    <w:rsid w:val="004F00EA"/>
    <w:rsid w:val="004F1684"/>
    <w:rsid w:val="004F3FDD"/>
    <w:rsid w:val="0050582A"/>
    <w:rsid w:val="005204B2"/>
    <w:rsid w:val="00542D4B"/>
    <w:rsid w:val="005442A4"/>
    <w:rsid w:val="00547CA7"/>
    <w:rsid w:val="00550A70"/>
    <w:rsid w:val="005755B2"/>
    <w:rsid w:val="00575702"/>
    <w:rsid w:val="00580134"/>
    <w:rsid w:val="0058733A"/>
    <w:rsid w:val="005E5EC8"/>
    <w:rsid w:val="00612D52"/>
    <w:rsid w:val="00664AB0"/>
    <w:rsid w:val="00677ADE"/>
    <w:rsid w:val="00684D78"/>
    <w:rsid w:val="00684FC3"/>
    <w:rsid w:val="00685F4F"/>
    <w:rsid w:val="00693961"/>
    <w:rsid w:val="006A2ACB"/>
    <w:rsid w:val="006B4874"/>
    <w:rsid w:val="006D22E1"/>
    <w:rsid w:val="006E38A5"/>
    <w:rsid w:val="006F4ACF"/>
    <w:rsid w:val="006F4E41"/>
    <w:rsid w:val="006F744A"/>
    <w:rsid w:val="007032B7"/>
    <w:rsid w:val="007050B5"/>
    <w:rsid w:val="00714BF4"/>
    <w:rsid w:val="00716BB2"/>
    <w:rsid w:val="007413D7"/>
    <w:rsid w:val="00756EBC"/>
    <w:rsid w:val="007600B7"/>
    <w:rsid w:val="007624B3"/>
    <w:rsid w:val="0076620D"/>
    <w:rsid w:val="00774D81"/>
    <w:rsid w:val="00780808"/>
    <w:rsid w:val="007A72D0"/>
    <w:rsid w:val="007B31E2"/>
    <w:rsid w:val="007B5E6B"/>
    <w:rsid w:val="007D0C30"/>
    <w:rsid w:val="007D683D"/>
    <w:rsid w:val="007F6A04"/>
    <w:rsid w:val="008020C0"/>
    <w:rsid w:val="008403DE"/>
    <w:rsid w:val="00840C40"/>
    <w:rsid w:val="008443BE"/>
    <w:rsid w:val="00844A48"/>
    <w:rsid w:val="0086332D"/>
    <w:rsid w:val="00886ACD"/>
    <w:rsid w:val="00890DC4"/>
    <w:rsid w:val="008A6B80"/>
    <w:rsid w:val="008B0991"/>
    <w:rsid w:val="008C3697"/>
    <w:rsid w:val="008E0A55"/>
    <w:rsid w:val="0092076F"/>
    <w:rsid w:val="009219E6"/>
    <w:rsid w:val="00922337"/>
    <w:rsid w:val="00923BDC"/>
    <w:rsid w:val="00926500"/>
    <w:rsid w:val="00933EB1"/>
    <w:rsid w:val="009425D7"/>
    <w:rsid w:val="00977891"/>
    <w:rsid w:val="009874F2"/>
    <w:rsid w:val="009A7E86"/>
    <w:rsid w:val="009B3EB9"/>
    <w:rsid w:val="009D0F83"/>
    <w:rsid w:val="009D3316"/>
    <w:rsid w:val="009E2F7B"/>
    <w:rsid w:val="00A0440C"/>
    <w:rsid w:val="00A22983"/>
    <w:rsid w:val="00A231F0"/>
    <w:rsid w:val="00A23E25"/>
    <w:rsid w:val="00A32692"/>
    <w:rsid w:val="00A551E1"/>
    <w:rsid w:val="00A55EEB"/>
    <w:rsid w:val="00A80B9F"/>
    <w:rsid w:val="00A8481F"/>
    <w:rsid w:val="00AA3F5F"/>
    <w:rsid w:val="00AD028E"/>
    <w:rsid w:val="00B008A6"/>
    <w:rsid w:val="00B0376B"/>
    <w:rsid w:val="00B12153"/>
    <w:rsid w:val="00B2532A"/>
    <w:rsid w:val="00B4780C"/>
    <w:rsid w:val="00B61AE8"/>
    <w:rsid w:val="00B627DA"/>
    <w:rsid w:val="00B64599"/>
    <w:rsid w:val="00B66558"/>
    <w:rsid w:val="00B7140F"/>
    <w:rsid w:val="00B74842"/>
    <w:rsid w:val="00B92348"/>
    <w:rsid w:val="00B95B2C"/>
    <w:rsid w:val="00BD7A56"/>
    <w:rsid w:val="00BF2B8F"/>
    <w:rsid w:val="00BF5405"/>
    <w:rsid w:val="00C012EF"/>
    <w:rsid w:val="00C05186"/>
    <w:rsid w:val="00C37B79"/>
    <w:rsid w:val="00C576CF"/>
    <w:rsid w:val="00C57F27"/>
    <w:rsid w:val="00C7468B"/>
    <w:rsid w:val="00C95F08"/>
    <w:rsid w:val="00CB6B65"/>
    <w:rsid w:val="00CC1C8B"/>
    <w:rsid w:val="00CE5AE9"/>
    <w:rsid w:val="00CF7604"/>
    <w:rsid w:val="00D01426"/>
    <w:rsid w:val="00D24FB2"/>
    <w:rsid w:val="00D5055A"/>
    <w:rsid w:val="00D56BDC"/>
    <w:rsid w:val="00D64AE3"/>
    <w:rsid w:val="00D8716B"/>
    <w:rsid w:val="00DD4841"/>
    <w:rsid w:val="00DD5D96"/>
    <w:rsid w:val="00DF56F5"/>
    <w:rsid w:val="00E25BE0"/>
    <w:rsid w:val="00E4036E"/>
    <w:rsid w:val="00E6518B"/>
    <w:rsid w:val="00E829B2"/>
    <w:rsid w:val="00E87C60"/>
    <w:rsid w:val="00E94513"/>
    <w:rsid w:val="00EA55D6"/>
    <w:rsid w:val="00EC7C98"/>
    <w:rsid w:val="00ED1786"/>
    <w:rsid w:val="00ED22ED"/>
    <w:rsid w:val="00EE18A1"/>
    <w:rsid w:val="00EE18E8"/>
    <w:rsid w:val="00EE33C4"/>
    <w:rsid w:val="00F0122F"/>
    <w:rsid w:val="00F1236A"/>
    <w:rsid w:val="00F12493"/>
    <w:rsid w:val="00F2433E"/>
    <w:rsid w:val="00F31CB1"/>
    <w:rsid w:val="00F34B53"/>
    <w:rsid w:val="00F450A3"/>
    <w:rsid w:val="00F464A4"/>
    <w:rsid w:val="00F64F00"/>
    <w:rsid w:val="00F71BF5"/>
    <w:rsid w:val="00F72155"/>
    <w:rsid w:val="00F877B7"/>
    <w:rsid w:val="00FA2A53"/>
    <w:rsid w:val="00FC3FFE"/>
    <w:rsid w:val="00FC7EAD"/>
    <w:rsid w:val="00FD0D9F"/>
    <w:rsid w:val="00FD27E7"/>
    <w:rsid w:val="00FE3633"/>
    <w:rsid w:val="00FE409C"/>
    <w:rsid w:val="00FF0D28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D160C"/>
  <w14:defaultImageDpi w14:val="300"/>
  <w15:chartTrackingRefBased/>
  <w15:docId w15:val="{3D43CB60-30B2-42B3-9E12-AE4A088F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D8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E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86"/>
  </w:style>
  <w:style w:type="paragraph" w:styleId="Footer">
    <w:name w:val="footer"/>
    <w:basedOn w:val="Normal"/>
    <w:link w:val="FooterChar"/>
    <w:uiPriority w:val="99"/>
    <w:unhideWhenUsed/>
    <w:rsid w:val="009A7E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86"/>
  </w:style>
  <w:style w:type="paragraph" w:styleId="BalloonText">
    <w:name w:val="Balloon Text"/>
    <w:basedOn w:val="Normal"/>
    <w:link w:val="BalloonTextChar"/>
    <w:uiPriority w:val="99"/>
    <w:semiHidden/>
    <w:unhideWhenUsed/>
    <w:rsid w:val="009A7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7E8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4D8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774D8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774D81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4D8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D8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D8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D8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D8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D8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D8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D8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D81"/>
    <w:pPr>
      <w:ind w:left="19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C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E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E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E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EAD"/>
    <w:rPr>
      <w:b/>
      <w:bCs/>
      <w:lang w:val="en-US" w:eastAsia="en-US"/>
    </w:rPr>
  </w:style>
  <w:style w:type="character" w:customStyle="1" w:styleId="2">
    <w:name w:val="Основен текст (2)_"/>
    <w:link w:val="20"/>
    <w:locked/>
    <w:rsid w:val="008403D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8403DE"/>
    <w:pPr>
      <w:widowControl w:val="0"/>
      <w:shd w:val="clear" w:color="auto" w:fill="FFFFFF"/>
      <w:spacing w:before="720" w:after="540" w:line="264" w:lineRule="exact"/>
      <w:jc w:val="both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7">
    <w:name w:val="Основен текст (7)_"/>
    <w:link w:val="70"/>
    <w:locked/>
    <w:rsid w:val="008403DE"/>
    <w:rPr>
      <w:rFonts w:ascii="Courier New" w:eastAsia="Courier New" w:hAnsi="Courier New" w:cs="Courier New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8403DE"/>
    <w:pPr>
      <w:widowControl w:val="0"/>
      <w:shd w:val="clear" w:color="auto" w:fill="FFFFFF"/>
      <w:spacing w:before="240" w:line="418" w:lineRule="exact"/>
    </w:pPr>
    <w:rPr>
      <w:rFonts w:ascii="Courier New" w:eastAsia="Courier New" w:hAnsi="Courier New" w:cs="Courier New"/>
      <w:sz w:val="36"/>
      <w:szCs w:val="36"/>
      <w:lang w:val="bg-BG" w:eastAsia="bg-BG"/>
    </w:rPr>
  </w:style>
  <w:style w:type="character" w:customStyle="1" w:styleId="8">
    <w:name w:val="Основен текст (8)_"/>
    <w:link w:val="80"/>
    <w:locked/>
    <w:rsid w:val="008403DE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8403DE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/>
      <w:i/>
      <w:iCs/>
      <w:sz w:val="21"/>
      <w:szCs w:val="21"/>
      <w:lang w:val="bg-BG" w:eastAsia="bg-BG"/>
    </w:rPr>
  </w:style>
  <w:style w:type="character" w:customStyle="1" w:styleId="9">
    <w:name w:val="Основен текст (9)_"/>
    <w:link w:val="90"/>
    <w:locked/>
    <w:rsid w:val="008403DE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90">
    <w:name w:val="Основен текст (9)"/>
    <w:basedOn w:val="Normal"/>
    <w:link w:val="9"/>
    <w:rsid w:val="008403D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sz w:val="14"/>
      <w:szCs w:val="14"/>
      <w:lang w:val="bg-BG" w:eastAsia="bg-BG"/>
    </w:rPr>
  </w:style>
  <w:style w:type="character" w:customStyle="1" w:styleId="10">
    <w:name w:val="Основен текст (10)_"/>
    <w:link w:val="100"/>
    <w:locked/>
    <w:rsid w:val="008403DE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8403DE"/>
    <w:pPr>
      <w:widowControl w:val="0"/>
      <w:shd w:val="clear" w:color="auto" w:fill="FFFFFF"/>
      <w:spacing w:before="240" w:after="660" w:line="0" w:lineRule="atLeast"/>
    </w:pPr>
    <w:rPr>
      <w:rFonts w:ascii="Times New Roman" w:eastAsia="Times New Roman" w:hAnsi="Times New Roman"/>
      <w:sz w:val="13"/>
      <w:szCs w:val="13"/>
      <w:lang w:val="bg-BG" w:eastAsia="bg-BG"/>
    </w:rPr>
  </w:style>
  <w:style w:type="character" w:customStyle="1" w:styleId="211pt">
    <w:name w:val="Основен текст (2) + 11 pt"/>
    <w:aliases w:val="Удебелен"/>
    <w:rsid w:val="008403DE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6">
    <w:name w:val="Основен текст (6)"/>
    <w:rsid w:val="008403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  <w:style w:type="character" w:customStyle="1" w:styleId="25">
    <w:name w:val="Основен текст (2) + 5"/>
    <w:aliases w:val="5 pt"/>
    <w:rsid w:val="008403DE"/>
    <w:rPr>
      <w:rFonts w:ascii="Times New Roman" w:eastAsia="Times New Roman" w:hAnsi="Times New Roman"/>
      <w:color w:val="000000"/>
      <w:spacing w:val="0"/>
      <w:w w:val="100"/>
      <w:position w:val="0"/>
      <w:sz w:val="11"/>
      <w:szCs w:val="11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5C128-1F2B-4C82-9E3D-67FA44E0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Mind Vision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Mariyan Hristov</dc:creator>
  <cp:keywords/>
  <dc:description/>
  <cp:lastModifiedBy>Elena.Angelova@DKK.LOCAL</cp:lastModifiedBy>
  <cp:revision>5</cp:revision>
  <cp:lastPrinted>2023-03-23T09:00:00Z</cp:lastPrinted>
  <dcterms:created xsi:type="dcterms:W3CDTF">2024-02-28T14:32:00Z</dcterms:created>
  <dcterms:modified xsi:type="dcterms:W3CDTF">2024-03-14T08:25:00Z</dcterms:modified>
</cp:coreProperties>
</file>