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09" w:rsidRPr="007B0009" w:rsidRDefault="00A228D7" w:rsidP="007B0009">
      <w:pPr>
        <w:pStyle w:val="Heading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20E3" w:rsidRPr="005320E3" w:rsidRDefault="00107D8C" w:rsidP="005320E3">
      <w:pPr>
        <w:pStyle w:val="Heading1"/>
        <w:jc w:val="center"/>
        <w:rPr>
          <w:rFonts w:ascii="Times New Roman" w:hAnsi="Times New Roman" w:cs="Times New Roman"/>
          <w:color w:val="008080"/>
          <w:sz w:val="28"/>
          <w:szCs w:val="28"/>
        </w:rPr>
      </w:pPr>
      <w:r w:rsidRPr="005320E3">
        <w:rPr>
          <w:rFonts w:ascii="Times New Roman" w:hAnsi="Times New Roman" w:cs="Times New Roman"/>
          <w:color w:val="008080"/>
          <w:sz w:val="28"/>
          <w:szCs w:val="28"/>
        </w:rPr>
        <w:t>АГЕНЦИЯ</w:t>
      </w:r>
    </w:p>
    <w:p w:rsidR="00107D8C" w:rsidRPr="005320E3" w:rsidRDefault="00107D8C" w:rsidP="005320E3">
      <w:pPr>
        <w:pStyle w:val="Heading1"/>
        <w:jc w:val="center"/>
        <w:rPr>
          <w:rFonts w:ascii="Times New Roman" w:hAnsi="Times New Roman" w:cs="Times New Roman"/>
          <w:color w:val="008080"/>
          <w:sz w:val="28"/>
          <w:szCs w:val="28"/>
        </w:rPr>
      </w:pPr>
      <w:r w:rsidRPr="005320E3">
        <w:rPr>
          <w:rFonts w:ascii="Times New Roman" w:hAnsi="Times New Roman" w:cs="Times New Roman"/>
          <w:color w:val="008080"/>
          <w:sz w:val="28"/>
          <w:szCs w:val="28"/>
        </w:rPr>
        <w:t xml:space="preserve">  ЗА ПРИВАТИЗАЦИЯ И СЛЕДПРИВАТИЗАЦИОНЕН КОНТРОЛ</w:t>
      </w:r>
    </w:p>
    <w:p w:rsidR="00107D8C" w:rsidRPr="00107D8C" w:rsidRDefault="00107D8C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  <w:lang w:val="ru-RU"/>
        </w:rPr>
      </w:pPr>
    </w:p>
    <w:p w:rsidR="00107D8C" w:rsidRDefault="00E72155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>
        <w:rPr>
          <w:rFonts w:ascii="Times New Roman" w:hAnsi="Times New Roman" w:cs="Times New Roman"/>
          <w:noProof/>
          <w:color w:val="00808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34290</wp:posOffset>
            </wp:positionV>
            <wp:extent cx="466725" cy="419100"/>
            <wp:effectExtent l="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8C" w:rsidRDefault="00107D8C" w:rsidP="00107D8C"/>
    <w:p w:rsidR="00107D8C" w:rsidRDefault="00107D8C" w:rsidP="00107D8C"/>
    <w:p w:rsidR="00107D8C" w:rsidRDefault="00107D8C" w:rsidP="00107D8C"/>
    <w:p w:rsidR="00107D8C" w:rsidRDefault="00107D8C" w:rsidP="00107D8C"/>
    <w:p w:rsidR="00107D8C" w:rsidRDefault="00107D8C" w:rsidP="00107D8C"/>
    <w:p w:rsidR="00107D8C" w:rsidRPr="00107D8C" w:rsidRDefault="00107D8C" w:rsidP="00107D8C"/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Pr="005320E3" w:rsidRDefault="005320E3" w:rsidP="005320E3">
      <w:pPr>
        <w:pStyle w:val="Heading1"/>
        <w:jc w:val="center"/>
        <w:rPr>
          <w:rFonts w:ascii="Times New Roman" w:hAnsi="Times New Roman" w:cs="Times New Roman"/>
          <w:color w:val="008080"/>
          <w:sz w:val="44"/>
          <w:szCs w:val="44"/>
        </w:rPr>
      </w:pPr>
      <w:r w:rsidRPr="005320E3">
        <w:rPr>
          <w:rFonts w:ascii="Times New Roman" w:hAnsi="Times New Roman" w:cs="Times New Roman"/>
          <w:color w:val="008080"/>
          <w:sz w:val="44"/>
          <w:szCs w:val="44"/>
        </w:rPr>
        <w:t>ПЛАН ЗА РАБОТА ПРЕЗ 201</w:t>
      </w:r>
      <w:r w:rsidR="0011707F">
        <w:rPr>
          <w:rFonts w:ascii="Times New Roman" w:hAnsi="Times New Roman" w:cs="Times New Roman"/>
          <w:color w:val="008080"/>
          <w:sz w:val="44"/>
          <w:szCs w:val="44"/>
          <w:lang w:val="en-US"/>
        </w:rPr>
        <w:t>7</w:t>
      </w:r>
      <w:r w:rsidRPr="005320E3">
        <w:rPr>
          <w:rFonts w:ascii="Times New Roman" w:hAnsi="Times New Roman" w:cs="Times New Roman"/>
          <w:color w:val="008080"/>
          <w:sz w:val="44"/>
          <w:szCs w:val="44"/>
        </w:rPr>
        <w:t xml:space="preserve"> г.</w:t>
      </w: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Default="005320E3" w:rsidP="005320E3"/>
    <w:p w:rsidR="005320E3" w:rsidRPr="005320E3" w:rsidRDefault="005320E3" w:rsidP="005320E3"/>
    <w:p w:rsidR="00BA0AC2" w:rsidRDefault="00BA0AC2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BA0AC2" w:rsidRPr="007836CA" w:rsidRDefault="00BA0AC2" w:rsidP="00BA0AC2">
      <w:pPr>
        <w:jc w:val="center"/>
        <w:rPr>
          <w:sz w:val="28"/>
          <w:szCs w:val="28"/>
        </w:rPr>
      </w:pPr>
      <w:r w:rsidRPr="007836CA">
        <w:rPr>
          <w:sz w:val="28"/>
          <w:szCs w:val="28"/>
        </w:rPr>
        <w:t>София, 201</w:t>
      </w:r>
      <w:r w:rsidR="0011707F">
        <w:rPr>
          <w:sz w:val="28"/>
          <w:szCs w:val="28"/>
          <w:lang w:val="en-US"/>
        </w:rPr>
        <w:t>7</w:t>
      </w:r>
      <w:r w:rsidRPr="007836CA">
        <w:rPr>
          <w:sz w:val="28"/>
          <w:szCs w:val="28"/>
        </w:rPr>
        <w:t xml:space="preserve"> година</w:t>
      </w:r>
    </w:p>
    <w:p w:rsidR="00BA0AC2" w:rsidRDefault="00BA0AC2" w:rsidP="00BA0AC2"/>
    <w:p w:rsidR="00BA0AC2" w:rsidRPr="00BA0AC2" w:rsidRDefault="00BA0AC2" w:rsidP="00BA0AC2"/>
    <w:p w:rsidR="00585D6D" w:rsidRDefault="00585D6D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</w:p>
    <w:p w:rsidR="009427FD" w:rsidRPr="009427FD" w:rsidRDefault="009427FD" w:rsidP="009427FD"/>
    <w:p w:rsidR="004B64BF" w:rsidRPr="00676B81" w:rsidRDefault="004B64BF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 w:rsidRPr="00676B81">
        <w:rPr>
          <w:rFonts w:ascii="Times New Roman" w:hAnsi="Times New Roman" w:cs="Times New Roman"/>
          <w:color w:val="008080"/>
          <w:sz w:val="28"/>
          <w:szCs w:val="28"/>
          <w:lang w:val="en-US"/>
        </w:rPr>
        <w:t>I</w:t>
      </w:r>
      <w:r w:rsidRPr="00676B81">
        <w:rPr>
          <w:rFonts w:ascii="Times New Roman" w:hAnsi="Times New Roman" w:cs="Times New Roman"/>
          <w:color w:val="008080"/>
          <w:sz w:val="28"/>
          <w:szCs w:val="28"/>
          <w:lang w:val="ru-RU"/>
        </w:rPr>
        <w:t xml:space="preserve">. </w:t>
      </w:r>
      <w:r w:rsidRPr="00676B81">
        <w:rPr>
          <w:rFonts w:ascii="Times New Roman" w:hAnsi="Times New Roman" w:cs="Times New Roman"/>
          <w:color w:val="008080"/>
          <w:sz w:val="28"/>
          <w:szCs w:val="28"/>
        </w:rPr>
        <w:t>ВЪВЕДЕНИЕ</w:t>
      </w:r>
    </w:p>
    <w:p w:rsidR="004B64BF" w:rsidRPr="0092525A" w:rsidRDefault="004B64BF" w:rsidP="004B64BF">
      <w:pPr>
        <w:ind w:right="28" w:firstLine="561"/>
        <w:jc w:val="both"/>
        <w:rPr>
          <w:color w:val="000000"/>
        </w:rPr>
      </w:pPr>
    </w:p>
    <w:p w:rsidR="00A94B89" w:rsidRPr="0037679C" w:rsidRDefault="004B64BF" w:rsidP="00A94B89">
      <w:pPr>
        <w:jc w:val="both"/>
      </w:pPr>
      <w:r w:rsidRPr="0037679C">
        <w:t>Планът за работа на Агенцията за приватизация и следприватизационен контрол  (АПСК, Агенцията) през 201</w:t>
      </w:r>
      <w:r w:rsidR="0011707F" w:rsidRPr="0037679C">
        <w:rPr>
          <w:lang w:val="en-US"/>
        </w:rPr>
        <w:t>7</w:t>
      </w:r>
      <w:r w:rsidRPr="0037679C">
        <w:t xml:space="preserve"> г. е изготвен в съответствие с изискванията на чл.</w:t>
      </w:r>
      <w:r w:rsidR="00B76CA4">
        <w:t xml:space="preserve"> </w:t>
      </w:r>
      <w:r w:rsidRPr="0037679C">
        <w:t>6, ал.</w:t>
      </w:r>
      <w:r w:rsidR="00B76CA4">
        <w:t xml:space="preserve"> </w:t>
      </w:r>
      <w:r w:rsidRPr="0037679C">
        <w:t>1 от Закона за приватизация и следприватизационен контрол</w:t>
      </w:r>
      <w:r w:rsidR="00B76CA4">
        <w:t xml:space="preserve"> (ЗПСК)</w:t>
      </w:r>
      <w:r w:rsidRPr="0037679C">
        <w:t xml:space="preserve"> и съгласно чл.</w:t>
      </w:r>
      <w:r w:rsidR="00B76CA4">
        <w:t xml:space="preserve"> </w:t>
      </w:r>
      <w:r w:rsidRPr="0037679C">
        <w:t xml:space="preserve">31, т.17 от </w:t>
      </w:r>
      <w:proofErr w:type="spellStart"/>
      <w:r w:rsidRPr="0037679C">
        <w:t>Устройствения</w:t>
      </w:r>
      <w:proofErr w:type="spellEnd"/>
      <w:r w:rsidRPr="0037679C">
        <w:t xml:space="preserve"> правилник на АПСК. </w:t>
      </w:r>
    </w:p>
    <w:p w:rsidR="004738B4" w:rsidRPr="0037679C" w:rsidRDefault="004738B4" w:rsidP="00A94B89">
      <w:pPr>
        <w:jc w:val="both"/>
      </w:pPr>
    </w:p>
    <w:p w:rsidR="004B64BF" w:rsidRPr="0037679C" w:rsidRDefault="004B64BF" w:rsidP="00A94B89">
      <w:pPr>
        <w:jc w:val="both"/>
      </w:pPr>
      <w:r w:rsidRPr="0037679C">
        <w:t xml:space="preserve">Годишният план поставя приоритетите и </w:t>
      </w:r>
      <w:r w:rsidR="004F5E97">
        <w:t>оперативните цели</w:t>
      </w:r>
      <w:r w:rsidRPr="0037679C">
        <w:t xml:space="preserve"> в дейността на Агенцията през 201</w:t>
      </w:r>
      <w:r w:rsidR="0011707F" w:rsidRPr="0037679C">
        <w:rPr>
          <w:lang w:val="en-US"/>
        </w:rPr>
        <w:t>7</w:t>
      </w:r>
      <w:r w:rsidR="002736EF" w:rsidRPr="0037679C">
        <w:rPr>
          <w:lang w:val="en-US"/>
        </w:rPr>
        <w:t xml:space="preserve"> </w:t>
      </w:r>
      <w:r w:rsidRPr="0037679C">
        <w:t xml:space="preserve">г. и съдържа прогноза за брой приватизационни продажби и брой дружества с извършен следприватизационен контрол, </w:t>
      </w:r>
      <w:r w:rsidRPr="0037679C">
        <w:rPr>
          <w:lang w:val="x-none"/>
        </w:rPr>
        <w:t>прогноза за приходите</w:t>
      </w:r>
      <w:r w:rsidRPr="0037679C">
        <w:t xml:space="preserve"> - очаквани постъпления от приватизационни продажби и от следприватизационен контрол, както и разчет за размера на необходимите разходи за обезпечаване на дейностите по приватизация и следприватизационен контрол.</w:t>
      </w:r>
    </w:p>
    <w:p w:rsidR="00A94B89" w:rsidRPr="0037679C" w:rsidRDefault="00A94B89" w:rsidP="00A94B89">
      <w:pPr>
        <w:jc w:val="both"/>
      </w:pPr>
    </w:p>
    <w:p w:rsidR="005D042D" w:rsidRPr="0037679C" w:rsidRDefault="005D042D" w:rsidP="00A94B89">
      <w:pPr>
        <w:jc w:val="both"/>
      </w:pPr>
      <w:r w:rsidRPr="0037679C">
        <w:t>Основна цел в работата на АПСК е реализиране на ефективен приватизационен процес и следприватизационен контрол.</w:t>
      </w:r>
      <w:r w:rsidR="00917CAF" w:rsidRPr="0037679C">
        <w:t xml:space="preserve"> Със своята дейност АПСК гарантира защита на държавния интерес в процеса по раздържавяване, подкрепя </w:t>
      </w:r>
      <w:r w:rsidR="00A6146C" w:rsidRPr="0037679C">
        <w:t xml:space="preserve">усилията на </w:t>
      </w:r>
      <w:r w:rsidR="00917CAF" w:rsidRPr="0037679C">
        <w:t xml:space="preserve">ресорните министерства, областните администрации и други държавни органи за привличане на инвестиции. </w:t>
      </w:r>
      <w:r w:rsidR="002754C4" w:rsidRPr="0037679C">
        <w:t xml:space="preserve"> </w:t>
      </w:r>
      <w:r w:rsidR="00917CAF" w:rsidRPr="0037679C">
        <w:t xml:space="preserve">Агенцията </w:t>
      </w:r>
      <w:r w:rsidR="003F6D65" w:rsidRPr="0037679C">
        <w:t>осигурява приходи в бюджета от дейностите по приватизация и следприватизационен контрол, като</w:t>
      </w:r>
      <w:r w:rsidR="00917CAF" w:rsidRPr="0037679C">
        <w:t xml:space="preserve"> </w:t>
      </w:r>
      <w:r w:rsidR="003F6D65" w:rsidRPr="0037679C">
        <w:t xml:space="preserve">дава своя принос в </w:t>
      </w:r>
      <w:r w:rsidR="00917CAF" w:rsidRPr="0037679C">
        <w:t xml:space="preserve">изпълнението на поставените цели </w:t>
      </w:r>
      <w:r w:rsidR="003F6D65" w:rsidRPr="0037679C">
        <w:t xml:space="preserve">в бюджетна програма – 2000.01.08 – </w:t>
      </w:r>
      <w:r w:rsidR="00917CAF" w:rsidRPr="0037679C">
        <w:t>„Преструктуриране и ефективно управление на държавната собственост“ на  Министерство на икономиката.</w:t>
      </w:r>
      <w:r w:rsidR="0074114C" w:rsidRPr="0037679C">
        <w:t xml:space="preserve"> </w:t>
      </w:r>
      <w:r w:rsidR="002754C4" w:rsidRPr="0037679C">
        <w:t xml:space="preserve"> </w:t>
      </w:r>
      <w:r w:rsidR="0074114C" w:rsidRPr="0037679C">
        <w:t xml:space="preserve">Оперативните дейности по раздържавяването на държавното участие и контрола по изпълнението на приватизационните ангажименти от страна на купувачите се изпълняват от </w:t>
      </w:r>
      <w:r w:rsidR="000F5E8A" w:rsidRPr="0037679C">
        <w:t>АПСК</w:t>
      </w:r>
      <w:r w:rsidR="0074114C" w:rsidRPr="0037679C">
        <w:t>.</w:t>
      </w:r>
    </w:p>
    <w:p w:rsidR="004B64BF" w:rsidRPr="0037679C" w:rsidRDefault="004B64BF" w:rsidP="004B64BF">
      <w:pPr>
        <w:pStyle w:val="a"/>
        <w:rPr>
          <w:rFonts w:ascii="Times New Roman" w:hAnsi="Times New Roman"/>
          <w:lang w:val="bg-BG"/>
        </w:rPr>
      </w:pPr>
    </w:p>
    <w:p w:rsidR="004B64BF" w:rsidRPr="002F375D" w:rsidRDefault="004B64BF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 w:rsidRPr="00013AFC">
        <w:rPr>
          <w:rFonts w:ascii="Times New Roman" w:hAnsi="Times New Roman" w:cs="Times New Roman"/>
          <w:color w:val="008080"/>
          <w:sz w:val="24"/>
          <w:szCs w:val="24"/>
          <w:lang w:val="en-US"/>
        </w:rPr>
        <w:t>II</w:t>
      </w:r>
      <w:r w:rsidRPr="00013AFC">
        <w:rPr>
          <w:rFonts w:ascii="Times New Roman" w:hAnsi="Times New Roman" w:cs="Times New Roman"/>
          <w:color w:val="008080"/>
          <w:sz w:val="24"/>
          <w:szCs w:val="24"/>
        </w:rPr>
        <w:t>. РЕСУРС ОТ</w:t>
      </w:r>
      <w:r w:rsidRPr="002F375D">
        <w:rPr>
          <w:rFonts w:ascii="Times New Roman" w:hAnsi="Times New Roman" w:cs="Times New Roman"/>
          <w:color w:val="008080"/>
          <w:sz w:val="28"/>
          <w:szCs w:val="28"/>
        </w:rPr>
        <w:t xml:space="preserve"> ОБЕКТИ, ПОДЛЕЖАЩИ НА ПРИВАТИЗАЦИЯ И ПРИВАТИЗАЦИОННИ ДОГОВОРИ, ПОДЛЕЖАЩИ НА КОНТРОЛ</w:t>
      </w:r>
    </w:p>
    <w:p w:rsidR="004B64BF" w:rsidRPr="00676B81" w:rsidRDefault="004B64BF" w:rsidP="002732FE">
      <w:pPr>
        <w:pStyle w:val="Heading2"/>
        <w:rPr>
          <w:i/>
          <w:color w:val="008080"/>
          <w:sz w:val="24"/>
          <w:szCs w:val="24"/>
        </w:rPr>
      </w:pPr>
      <w:r w:rsidRPr="00676B81">
        <w:rPr>
          <w:i/>
          <w:color w:val="008080"/>
          <w:sz w:val="24"/>
          <w:szCs w:val="24"/>
        </w:rPr>
        <w:t xml:space="preserve"> Актуално състояние на ресурса от дружества, подлежащи на приватизация</w:t>
      </w:r>
    </w:p>
    <w:p w:rsidR="00B34562" w:rsidRDefault="008B6CCA" w:rsidP="00B34562">
      <w:pPr>
        <w:pStyle w:val="CharCharChar"/>
        <w:tabs>
          <w:tab w:val="clear" w:pos="709"/>
        </w:tabs>
        <w:jc w:val="both"/>
        <w:rPr>
          <w:rFonts w:ascii="Times New Roman" w:hAnsi="Times New Roman"/>
          <w:lang w:val="bg-BG"/>
        </w:rPr>
      </w:pPr>
      <w:r w:rsidRPr="0037679C">
        <w:rPr>
          <w:rFonts w:ascii="Times New Roman" w:hAnsi="Times New Roman"/>
          <w:lang w:val="bg-BG"/>
        </w:rPr>
        <w:t>През</w:t>
      </w:r>
      <w:r w:rsidR="004B64BF" w:rsidRPr="0037679C">
        <w:rPr>
          <w:rFonts w:ascii="Times New Roman" w:hAnsi="Times New Roman"/>
        </w:rPr>
        <w:t xml:space="preserve"> 201</w:t>
      </w:r>
      <w:r w:rsidRPr="0037679C">
        <w:rPr>
          <w:rFonts w:ascii="Times New Roman" w:hAnsi="Times New Roman"/>
          <w:lang w:val="bg-BG"/>
        </w:rPr>
        <w:t>7</w:t>
      </w:r>
      <w:r w:rsidR="004B64BF" w:rsidRPr="0037679C">
        <w:rPr>
          <w:rFonts w:ascii="Times New Roman" w:hAnsi="Times New Roman"/>
        </w:rPr>
        <w:t xml:space="preserve"> г. АПСК </w:t>
      </w:r>
      <w:r w:rsidRPr="0037679C">
        <w:rPr>
          <w:rFonts w:ascii="Times New Roman" w:hAnsi="Times New Roman"/>
          <w:lang w:val="bg-BG"/>
        </w:rPr>
        <w:t xml:space="preserve">ще </w:t>
      </w:r>
      <w:r w:rsidR="00B34562" w:rsidRPr="0037679C">
        <w:rPr>
          <w:rFonts w:ascii="Times New Roman" w:hAnsi="Times New Roman"/>
          <w:lang w:val="bg-BG"/>
        </w:rPr>
        <w:t>разполага с</w:t>
      </w:r>
      <w:r w:rsidR="004B64BF" w:rsidRPr="0037679C">
        <w:rPr>
          <w:rFonts w:ascii="Times New Roman" w:hAnsi="Times New Roman"/>
        </w:rPr>
        <w:t xml:space="preserve"> ресурс </w:t>
      </w:r>
      <w:r w:rsidR="00B34562" w:rsidRPr="0037679C">
        <w:rPr>
          <w:rFonts w:ascii="Times New Roman" w:hAnsi="Times New Roman"/>
        </w:rPr>
        <w:t>от</w:t>
      </w:r>
      <w:r w:rsidR="001715F4" w:rsidRPr="0037679C">
        <w:rPr>
          <w:rFonts w:ascii="Times New Roman" w:hAnsi="Times New Roman"/>
          <w:lang w:val="bg-BG"/>
        </w:rPr>
        <w:t xml:space="preserve"> обекти, подлежащи на приватизация</w:t>
      </w:r>
      <w:r w:rsidR="009748BE" w:rsidRPr="0037679C">
        <w:rPr>
          <w:rFonts w:ascii="Times New Roman" w:hAnsi="Times New Roman"/>
          <w:lang w:val="bg-BG"/>
        </w:rPr>
        <w:t>, както следва</w:t>
      </w:r>
      <w:r w:rsidR="00B34562" w:rsidRPr="0037679C">
        <w:rPr>
          <w:rFonts w:ascii="Times New Roman" w:hAnsi="Times New Roman"/>
        </w:rPr>
        <w:t>:</w:t>
      </w:r>
    </w:p>
    <w:p w:rsidR="00C60082" w:rsidRPr="00C60082" w:rsidRDefault="00C60082" w:rsidP="00B34562">
      <w:pPr>
        <w:pStyle w:val="CharCharChar"/>
        <w:tabs>
          <w:tab w:val="clear" w:pos="709"/>
        </w:tabs>
        <w:jc w:val="both"/>
        <w:rPr>
          <w:rFonts w:ascii="Times New Roman" w:hAnsi="Times New Roman"/>
          <w:lang w:val="bg-BG"/>
        </w:rPr>
      </w:pPr>
    </w:p>
    <w:p w:rsidR="00DE69F2" w:rsidRPr="0037679C" w:rsidRDefault="00C62126" w:rsidP="004B64BF">
      <w:pPr>
        <w:pStyle w:val="CharCharChar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</w:rPr>
      </w:pPr>
      <w:r w:rsidRPr="0037679C">
        <w:rPr>
          <w:rFonts w:ascii="Times New Roman" w:hAnsi="Times New Roman"/>
          <w:lang w:val="en-US"/>
        </w:rPr>
        <w:t>13</w:t>
      </w:r>
      <w:r w:rsidR="004B64BF" w:rsidRPr="0037679C">
        <w:rPr>
          <w:rFonts w:ascii="Times New Roman" w:hAnsi="Times New Roman"/>
          <w:lang w:val="ru-RU"/>
        </w:rPr>
        <w:t xml:space="preserve"> </w:t>
      </w:r>
      <w:r w:rsidR="004B64BF" w:rsidRPr="0037679C">
        <w:rPr>
          <w:rFonts w:ascii="Times New Roman" w:hAnsi="Times New Roman"/>
        </w:rPr>
        <w:t>броя</w:t>
      </w:r>
      <w:r w:rsidR="004B64BF" w:rsidRPr="0037679C">
        <w:rPr>
          <w:rFonts w:ascii="Times New Roman" w:hAnsi="Times New Roman"/>
          <w:lang w:val="ru-RU"/>
        </w:rPr>
        <w:t xml:space="preserve"> </w:t>
      </w:r>
      <w:r w:rsidR="004B64BF" w:rsidRPr="0037679C">
        <w:rPr>
          <w:rFonts w:ascii="Times New Roman" w:hAnsi="Times New Roman"/>
        </w:rPr>
        <w:t>мажоритарни пакети</w:t>
      </w:r>
      <w:r w:rsidR="004B64BF" w:rsidRPr="0037679C">
        <w:rPr>
          <w:rFonts w:ascii="Times New Roman" w:hAnsi="Times New Roman"/>
          <w:lang w:val="bg-BG"/>
        </w:rPr>
        <w:t xml:space="preserve"> акции/дялове</w:t>
      </w:r>
      <w:r w:rsidR="004B64BF" w:rsidRPr="0037679C">
        <w:rPr>
          <w:rFonts w:ascii="Times New Roman" w:hAnsi="Times New Roman"/>
        </w:rPr>
        <w:t xml:space="preserve">, представляващи дружества с над 50 на </w:t>
      </w:r>
      <w:r w:rsidR="00DE69F2" w:rsidRPr="0037679C">
        <w:rPr>
          <w:rFonts w:ascii="Times New Roman" w:hAnsi="Times New Roman"/>
        </w:rPr>
        <w:t>сто държавно участие в капитала</w:t>
      </w:r>
      <w:r w:rsidR="009D4259" w:rsidRPr="0037679C">
        <w:rPr>
          <w:rFonts w:ascii="Times New Roman" w:hAnsi="Times New Roman"/>
          <w:lang w:val="bg-BG"/>
        </w:rPr>
        <w:t xml:space="preserve"> (от тях </w:t>
      </w:r>
      <w:r w:rsidRPr="0037679C">
        <w:rPr>
          <w:rFonts w:ascii="Times New Roman" w:hAnsi="Times New Roman"/>
          <w:lang w:val="en-US"/>
        </w:rPr>
        <w:t>4</w:t>
      </w:r>
      <w:r w:rsidR="008B65BB" w:rsidRPr="0037679C">
        <w:rPr>
          <w:rFonts w:ascii="Times New Roman" w:hAnsi="Times New Roman"/>
          <w:lang w:val="bg-BG"/>
        </w:rPr>
        <w:t xml:space="preserve"> броя вле</w:t>
      </w:r>
      <w:r w:rsidR="009D4259" w:rsidRPr="0037679C">
        <w:rPr>
          <w:rFonts w:ascii="Times New Roman" w:hAnsi="Times New Roman"/>
          <w:lang w:val="bg-BG"/>
        </w:rPr>
        <w:t>ти в „ДКК“ ЕАД)</w:t>
      </w:r>
      <w:r w:rsidR="00DE69F2" w:rsidRPr="0037679C">
        <w:rPr>
          <w:rFonts w:ascii="Times New Roman" w:hAnsi="Times New Roman"/>
        </w:rPr>
        <w:t>;</w:t>
      </w:r>
    </w:p>
    <w:p w:rsidR="004B64BF" w:rsidRPr="0037679C" w:rsidRDefault="005A6623" w:rsidP="004B64BF">
      <w:pPr>
        <w:pStyle w:val="CharCharChar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</w:rPr>
      </w:pPr>
      <w:r w:rsidRPr="0037679C">
        <w:rPr>
          <w:rFonts w:ascii="Times New Roman" w:hAnsi="Times New Roman"/>
          <w:lang w:val="en-US"/>
        </w:rPr>
        <w:t>3</w:t>
      </w:r>
      <w:r w:rsidR="004B64BF" w:rsidRPr="0037679C">
        <w:rPr>
          <w:rFonts w:ascii="Times New Roman" w:hAnsi="Times New Roman"/>
          <w:lang w:val="ru-RU"/>
        </w:rPr>
        <w:t xml:space="preserve"> </w:t>
      </w:r>
      <w:r w:rsidR="004B64BF" w:rsidRPr="0037679C">
        <w:rPr>
          <w:rFonts w:ascii="Times New Roman" w:hAnsi="Times New Roman"/>
        </w:rPr>
        <w:t>броя</w:t>
      </w:r>
      <w:r w:rsidR="004B64BF" w:rsidRPr="0037679C">
        <w:rPr>
          <w:rFonts w:ascii="Times New Roman" w:hAnsi="Times New Roman"/>
          <w:lang w:val="ru-RU"/>
        </w:rPr>
        <w:t xml:space="preserve"> </w:t>
      </w:r>
      <w:r w:rsidR="004B64BF" w:rsidRPr="0037679C">
        <w:rPr>
          <w:rFonts w:ascii="Times New Roman" w:hAnsi="Times New Roman"/>
        </w:rPr>
        <w:t>пакети от дялове/акции, собственост на търговски дружества с над 50 на сто държавно участие в капитала в други търговски дружества</w:t>
      </w:r>
      <w:r w:rsidR="004B64BF" w:rsidRPr="0037679C">
        <w:rPr>
          <w:rFonts w:ascii="Times New Roman" w:hAnsi="Times New Roman"/>
          <w:lang w:val="bg-BG"/>
        </w:rPr>
        <w:t>;</w:t>
      </w:r>
    </w:p>
    <w:p w:rsidR="004B64BF" w:rsidRPr="0037679C" w:rsidRDefault="00B2164A" w:rsidP="004B64BF">
      <w:pPr>
        <w:pStyle w:val="Heading2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proofErr w:type="gramStart"/>
      <w:r w:rsidRPr="0037679C">
        <w:rPr>
          <w:b w:val="0"/>
          <w:sz w:val="24"/>
          <w:szCs w:val="24"/>
          <w:lang w:val="en-US"/>
        </w:rPr>
        <w:t>6</w:t>
      </w:r>
      <w:r w:rsidR="002C7EDC">
        <w:rPr>
          <w:b w:val="0"/>
          <w:sz w:val="24"/>
          <w:szCs w:val="24"/>
        </w:rPr>
        <w:t>2</w:t>
      </w:r>
      <w:r w:rsidR="004B64BF" w:rsidRPr="0037679C">
        <w:rPr>
          <w:b w:val="0"/>
          <w:sz w:val="24"/>
          <w:szCs w:val="24"/>
        </w:rPr>
        <w:t xml:space="preserve"> търговски дружества с под 50 на сто държавно участие в капитала (</w:t>
      </w:r>
      <w:r w:rsidR="004B64BF" w:rsidRPr="0037679C">
        <w:rPr>
          <w:b w:val="0"/>
          <w:sz w:val="24"/>
          <w:szCs w:val="24"/>
          <w:lang w:val="ru-RU"/>
        </w:rPr>
        <w:t>миноритарни пакети акции/дялове)</w:t>
      </w:r>
      <w:r w:rsidR="004B64BF" w:rsidRPr="0037679C">
        <w:rPr>
          <w:b w:val="0"/>
          <w:sz w:val="24"/>
          <w:szCs w:val="24"/>
        </w:rPr>
        <w:t>.</w:t>
      </w:r>
      <w:proofErr w:type="gramEnd"/>
      <w:r w:rsidR="004B64BF" w:rsidRPr="0037679C">
        <w:rPr>
          <w:b w:val="0"/>
          <w:sz w:val="24"/>
          <w:szCs w:val="24"/>
        </w:rPr>
        <w:t xml:space="preserve"> Поради реституционни претенции и заведените по този повод съдебни дела, остава блокирана продажбата на миноритарното държавно участие в капитала на </w:t>
      </w:r>
      <w:r w:rsidR="008B65BB" w:rsidRPr="0037679C">
        <w:rPr>
          <w:b w:val="0"/>
          <w:sz w:val="24"/>
          <w:szCs w:val="24"/>
        </w:rPr>
        <w:t xml:space="preserve">други </w:t>
      </w:r>
      <w:r w:rsidRPr="0037679C">
        <w:rPr>
          <w:b w:val="0"/>
          <w:sz w:val="24"/>
          <w:szCs w:val="24"/>
          <w:lang w:val="en-US"/>
        </w:rPr>
        <w:t>29</w:t>
      </w:r>
      <w:r w:rsidR="004B64BF" w:rsidRPr="0037679C">
        <w:rPr>
          <w:b w:val="0"/>
          <w:sz w:val="24"/>
          <w:szCs w:val="24"/>
        </w:rPr>
        <w:t xml:space="preserve"> дружества.</w:t>
      </w:r>
    </w:p>
    <w:p w:rsidR="004B64BF" w:rsidRPr="0037679C" w:rsidRDefault="00B34562" w:rsidP="004B64BF">
      <w:pPr>
        <w:pStyle w:val="Heading2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 w:rsidRPr="0037679C">
        <w:rPr>
          <w:b w:val="0"/>
          <w:sz w:val="24"/>
          <w:szCs w:val="24"/>
        </w:rPr>
        <w:t>1</w:t>
      </w:r>
      <w:r w:rsidR="00FD0795" w:rsidRPr="0037679C">
        <w:rPr>
          <w:b w:val="0"/>
          <w:sz w:val="24"/>
          <w:szCs w:val="24"/>
        </w:rPr>
        <w:t>6</w:t>
      </w:r>
      <w:r w:rsidRPr="0037679C">
        <w:rPr>
          <w:b w:val="0"/>
          <w:sz w:val="24"/>
          <w:szCs w:val="24"/>
        </w:rPr>
        <w:t xml:space="preserve"> на брой обособени</w:t>
      </w:r>
      <w:r w:rsidR="004B64BF" w:rsidRPr="0037679C">
        <w:rPr>
          <w:b w:val="0"/>
          <w:sz w:val="24"/>
          <w:szCs w:val="24"/>
        </w:rPr>
        <w:t xml:space="preserve"> части, собственост на търговски дружества с над 50 на сто държавно участие в</w:t>
      </w:r>
      <w:r w:rsidR="00346850" w:rsidRPr="0037679C">
        <w:rPr>
          <w:b w:val="0"/>
          <w:sz w:val="24"/>
          <w:szCs w:val="24"/>
        </w:rPr>
        <w:t xml:space="preserve"> капитала</w:t>
      </w:r>
      <w:r w:rsidR="004B64BF" w:rsidRPr="0037679C">
        <w:rPr>
          <w:b w:val="0"/>
          <w:sz w:val="24"/>
          <w:szCs w:val="24"/>
        </w:rPr>
        <w:t>;</w:t>
      </w:r>
    </w:p>
    <w:p w:rsidR="004B64BF" w:rsidRPr="0037679C" w:rsidRDefault="00EB58C8" w:rsidP="00367DF1">
      <w:pPr>
        <w:pStyle w:val="Heading2"/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b w:val="0"/>
          <w:sz w:val="24"/>
          <w:szCs w:val="24"/>
        </w:rPr>
      </w:pPr>
      <w:r w:rsidRPr="0037679C">
        <w:rPr>
          <w:b w:val="0"/>
          <w:sz w:val="24"/>
          <w:szCs w:val="24"/>
        </w:rPr>
        <w:t>130</w:t>
      </w:r>
      <w:r w:rsidR="006274DB" w:rsidRPr="0037679C">
        <w:rPr>
          <w:b w:val="0"/>
          <w:sz w:val="24"/>
          <w:szCs w:val="24"/>
        </w:rPr>
        <w:t xml:space="preserve"> обекти, представляващи имоти-частна държавна собственост и имоти с предоставени права на управление на ръководители на държавни ведомства (МВР, МФ, МЗХ и Б</w:t>
      </w:r>
      <w:bookmarkStart w:id="0" w:name="_GoBack"/>
      <w:bookmarkEnd w:id="0"/>
      <w:r w:rsidR="006274DB" w:rsidRPr="0037679C">
        <w:rPr>
          <w:b w:val="0"/>
          <w:sz w:val="24"/>
          <w:szCs w:val="24"/>
        </w:rPr>
        <w:t>АБХ)</w:t>
      </w:r>
      <w:r w:rsidRPr="0037679C">
        <w:rPr>
          <w:b w:val="0"/>
          <w:sz w:val="24"/>
          <w:szCs w:val="24"/>
        </w:rPr>
        <w:t>, за които има предложения за приватизация</w:t>
      </w:r>
      <w:r w:rsidR="00367DF1" w:rsidRPr="0037679C">
        <w:rPr>
          <w:b w:val="0"/>
          <w:sz w:val="24"/>
          <w:szCs w:val="24"/>
        </w:rPr>
        <w:t>.</w:t>
      </w:r>
    </w:p>
    <w:p w:rsidR="00E438B5" w:rsidRDefault="00E438B5" w:rsidP="00665C79">
      <w:pPr>
        <w:jc w:val="both"/>
        <w:rPr>
          <w:b/>
          <w:i/>
          <w:color w:val="008080"/>
        </w:rPr>
      </w:pPr>
    </w:p>
    <w:p w:rsidR="00665C79" w:rsidRPr="00665C79" w:rsidRDefault="00665C79" w:rsidP="00665C79">
      <w:pPr>
        <w:jc w:val="both"/>
        <w:rPr>
          <w:i/>
          <w:color w:val="008080"/>
        </w:rPr>
      </w:pPr>
      <w:r w:rsidRPr="00665C79">
        <w:rPr>
          <w:b/>
          <w:i/>
          <w:color w:val="008080"/>
        </w:rPr>
        <w:t>Потенциални възможности за увеличаване на ресурса от обекти, подлежащи на приватизация</w:t>
      </w:r>
      <w:r w:rsidRPr="00665C79">
        <w:rPr>
          <w:i/>
          <w:color w:val="008080"/>
        </w:rPr>
        <w:t xml:space="preserve"> </w:t>
      </w:r>
    </w:p>
    <w:p w:rsidR="004B64BF" w:rsidRPr="005F47ED" w:rsidRDefault="004B64BF" w:rsidP="004B64BF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</w:pPr>
      <w:r w:rsidRPr="005F47ED">
        <w:t xml:space="preserve">Дялове, акции и обособени части, собственост на търговски дружества с повече от 50% държавно участие в капитала в други търговски дружества, </w:t>
      </w:r>
      <w:r w:rsidRPr="005F47ED">
        <w:rPr>
          <w:lang w:val="x-none"/>
        </w:rPr>
        <w:t>след предложение от компетентния орган за управление на съответното дружество</w:t>
      </w:r>
      <w:r w:rsidRPr="005F47ED">
        <w:t xml:space="preserve"> и съгласуван</w:t>
      </w:r>
      <w:r w:rsidR="00B97E0C" w:rsidRPr="005F47ED">
        <w:t>о</w:t>
      </w:r>
      <w:r w:rsidRPr="005F47ED">
        <w:t xml:space="preserve"> с ресорния министър;</w:t>
      </w:r>
    </w:p>
    <w:p w:rsidR="004B64BF" w:rsidRPr="005F47ED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60"/>
        <w:jc w:val="both"/>
      </w:pPr>
      <w:r w:rsidRPr="005F47ED">
        <w:t>Имоти частна-държавна собственост с данъчна оценка от 10 хил. лева</w:t>
      </w:r>
      <w:r w:rsidRPr="005F47ED">
        <w:rPr>
          <w:lang w:val="x-none"/>
        </w:rPr>
        <w:t xml:space="preserve"> </w:t>
      </w:r>
      <w:r w:rsidRPr="005F47ED">
        <w:t xml:space="preserve">до 500 хил.лв. - </w:t>
      </w:r>
      <w:r w:rsidRPr="005F47ED">
        <w:rPr>
          <w:lang w:val="x-none"/>
        </w:rPr>
        <w:t>след предложение на ръководителя на ведомството, което управлява имота, или от областния управител в случаите по чл. 18, ал. 1 от Закона за държавната собственост</w:t>
      </w:r>
      <w:r w:rsidR="00B97E0C" w:rsidRPr="005F47ED">
        <w:t xml:space="preserve">, а за </w:t>
      </w:r>
      <w:r w:rsidRPr="005F47ED">
        <w:t xml:space="preserve">имоти </w:t>
      </w:r>
      <w:r w:rsidRPr="005F47ED">
        <w:rPr>
          <w:lang w:val="x-none"/>
        </w:rPr>
        <w:t xml:space="preserve">с данъчна оценка над 500 000 лв. </w:t>
      </w:r>
      <w:r w:rsidRPr="005F47ED">
        <w:t xml:space="preserve">- </w:t>
      </w:r>
      <w:r w:rsidR="00EA6E5E" w:rsidRPr="005F47ED">
        <w:rPr>
          <w:lang w:val="x-none"/>
        </w:rPr>
        <w:t>след решение на Министерски</w:t>
      </w:r>
      <w:r w:rsidR="00C846CE" w:rsidRPr="005F47ED">
        <w:rPr>
          <w:lang w:val="x-none"/>
        </w:rPr>
        <w:t xml:space="preserve"> съвет</w:t>
      </w:r>
      <w:r w:rsidRPr="005F47ED">
        <w:t xml:space="preserve">; </w:t>
      </w:r>
    </w:p>
    <w:p w:rsidR="004B64BF" w:rsidRPr="005F47ED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60"/>
        <w:jc w:val="both"/>
      </w:pPr>
      <w:r w:rsidRPr="005F47ED">
        <w:t xml:space="preserve">Новообразувани дружества с държавно участие в капитала (чл.3, ал.4 от ЗПСК); </w:t>
      </w:r>
    </w:p>
    <w:p w:rsidR="004B64BF" w:rsidRPr="005F47ED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60"/>
        <w:jc w:val="both"/>
      </w:pPr>
      <w:r w:rsidRPr="005F47ED">
        <w:t>Миноритарни пакети - след произнасяне на компетентните органи по отношение на предявени реституционни претенции и установяване на точния брой акции/дялове, които могат да бъдат пред</w:t>
      </w:r>
      <w:r w:rsidR="009D4259" w:rsidRPr="005F47ED">
        <w:t>мет на приватизационна продажба</w:t>
      </w:r>
      <w:r w:rsidRPr="005F47ED">
        <w:t>;</w:t>
      </w:r>
    </w:p>
    <w:p w:rsidR="004B64BF" w:rsidRPr="005F47ED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60"/>
        <w:jc w:val="both"/>
      </w:pPr>
      <w:r w:rsidRPr="005F47ED">
        <w:t>При разваляне, с влязло в сила съдебно решение, на сключени приватизационни договори;</w:t>
      </w:r>
    </w:p>
    <w:p w:rsidR="004B64BF" w:rsidRPr="005F47ED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60"/>
        <w:jc w:val="both"/>
      </w:pPr>
      <w:r w:rsidRPr="005F47ED">
        <w:t>Дружества, отпаднали от т. нар. “забранителен списък” (</w:t>
      </w:r>
      <w:r w:rsidRPr="005F47ED">
        <w:rPr>
          <w:i/>
        </w:rPr>
        <w:t>Приложение № 1 към чл.3, ал.1 от ЗПСК)</w:t>
      </w:r>
      <w:r w:rsidRPr="005F47ED">
        <w:t xml:space="preserve"> чрез изменение на ЗПСК, които биха могли да бъдат успешно приватизирани.</w:t>
      </w:r>
    </w:p>
    <w:p w:rsidR="004B64BF" w:rsidRPr="0092525A" w:rsidRDefault="004B64BF" w:rsidP="004B64BF">
      <w:pPr>
        <w:jc w:val="both"/>
        <w:rPr>
          <w:color w:val="000000"/>
        </w:rPr>
      </w:pPr>
    </w:p>
    <w:p w:rsidR="004B64BF" w:rsidRPr="002D7239" w:rsidRDefault="004B64BF" w:rsidP="00665C79">
      <w:pPr>
        <w:jc w:val="both"/>
        <w:rPr>
          <w:b/>
          <w:i/>
          <w:color w:val="008080"/>
        </w:rPr>
      </w:pPr>
      <w:r w:rsidRPr="00A901EE">
        <w:rPr>
          <w:b/>
          <w:i/>
          <w:color w:val="008080"/>
        </w:rPr>
        <w:t>Приватизационни договори, подлежащи</w:t>
      </w:r>
      <w:r w:rsidRPr="002D7239">
        <w:rPr>
          <w:b/>
          <w:i/>
          <w:color w:val="008080"/>
        </w:rPr>
        <w:t xml:space="preserve"> на контрол</w:t>
      </w:r>
    </w:p>
    <w:p w:rsidR="004B64BF" w:rsidRPr="0092525A" w:rsidRDefault="004B64BF" w:rsidP="004B64BF">
      <w:pPr>
        <w:ind w:left="374"/>
        <w:jc w:val="both"/>
        <w:rPr>
          <w:b/>
          <w:i/>
          <w:color w:val="000000"/>
        </w:rPr>
      </w:pPr>
    </w:p>
    <w:p w:rsidR="004B64BF" w:rsidRPr="00074BCB" w:rsidRDefault="004B64BF" w:rsidP="00665C79">
      <w:pPr>
        <w:pStyle w:val="Style7"/>
        <w:widowControl/>
        <w:tabs>
          <w:tab w:val="left" w:pos="362"/>
        </w:tabs>
        <w:spacing w:line="240" w:lineRule="auto"/>
        <w:ind w:firstLine="0"/>
      </w:pPr>
      <w:r w:rsidRPr="00074BCB">
        <w:rPr>
          <w:bCs/>
        </w:rPr>
        <w:t xml:space="preserve">АПСК осъществява </w:t>
      </w:r>
      <w:r w:rsidRPr="00074BCB">
        <w:t xml:space="preserve">следприватизационен контрол </w:t>
      </w:r>
      <w:r w:rsidR="00CF6F35" w:rsidRPr="00074BCB">
        <w:t>на</w:t>
      </w:r>
      <w:r w:rsidRPr="00074BCB">
        <w:t>:</w:t>
      </w:r>
    </w:p>
    <w:p w:rsidR="004B64BF" w:rsidRPr="00074BCB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074BCB">
        <w:t>Изпълнението на изискуемите задължения по прива</w:t>
      </w:r>
      <w:r w:rsidR="00C01AD2" w:rsidRPr="00074BCB">
        <w:t>тизационните договори,  в т.ч.</w:t>
      </w:r>
      <w:r w:rsidR="00C01AD2" w:rsidRPr="00074BCB">
        <w:rPr>
          <w:lang w:val="en-US"/>
        </w:rPr>
        <w:t xml:space="preserve"> </w:t>
      </w:r>
      <w:r w:rsidRPr="00074BCB">
        <w:t>подлежащи на</w:t>
      </w:r>
      <w:r w:rsidRPr="00074BCB">
        <w:rPr>
          <w:b/>
        </w:rPr>
        <w:t xml:space="preserve"> </w:t>
      </w:r>
      <w:r w:rsidRPr="00074BCB">
        <w:t xml:space="preserve">контрол по отношение на изплащането на цената по приватизационния договор -  </w:t>
      </w:r>
      <w:r w:rsidR="00224979" w:rsidRPr="00074BCB">
        <w:t>176</w:t>
      </w:r>
      <w:r w:rsidRPr="00074BCB">
        <w:t xml:space="preserve"> броя;</w:t>
      </w:r>
    </w:p>
    <w:p w:rsidR="004B64BF" w:rsidRPr="00074BCB" w:rsidRDefault="004B64BF" w:rsidP="004B64BF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074BCB">
        <w:t>Изпълнението на инвестиционни програми - по отношение на 2 договора;</w:t>
      </w:r>
    </w:p>
    <w:p w:rsidR="004B64BF" w:rsidRPr="00074BCB" w:rsidRDefault="004B64BF" w:rsidP="005320E3">
      <w:pPr>
        <w:numPr>
          <w:ilvl w:val="0"/>
          <w:numId w:val="3"/>
        </w:numPr>
        <w:tabs>
          <w:tab w:val="clear" w:pos="734"/>
          <w:tab w:val="num" w:pos="0"/>
        </w:tabs>
        <w:ind w:left="0" w:firstLine="374"/>
        <w:jc w:val="both"/>
      </w:pPr>
      <w:r w:rsidRPr="00074BCB">
        <w:t>Общият брой на договорите, подлежащи на контрол по отношение на различни  социални ангажименти и други задължения</w:t>
      </w:r>
      <w:r w:rsidR="00830CF2" w:rsidRPr="00074BCB">
        <w:t>, в т.ч. и инвестиции</w:t>
      </w:r>
      <w:r w:rsidRPr="00074BCB">
        <w:t xml:space="preserve"> -  </w:t>
      </w:r>
      <w:r w:rsidR="00224979" w:rsidRPr="00074BCB">
        <w:t>88</w:t>
      </w:r>
      <w:r w:rsidRPr="00074BCB">
        <w:t xml:space="preserve"> бр.</w:t>
      </w:r>
    </w:p>
    <w:p w:rsidR="00872F79" w:rsidRDefault="00872F79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9427FD" w:rsidRDefault="009427FD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</w:p>
    <w:p w:rsidR="004B64BF" w:rsidRPr="00676B81" w:rsidRDefault="004B64BF" w:rsidP="004B64BF">
      <w:pPr>
        <w:pStyle w:val="CharCharChar"/>
        <w:rPr>
          <w:rFonts w:ascii="Times New Roman" w:hAnsi="Times New Roman"/>
          <w:b/>
          <w:color w:val="008080"/>
          <w:sz w:val="28"/>
          <w:szCs w:val="28"/>
          <w:lang w:val="bg-BG"/>
        </w:rPr>
      </w:pPr>
      <w:r w:rsidRPr="00676B81">
        <w:rPr>
          <w:rFonts w:ascii="Times New Roman" w:hAnsi="Times New Roman"/>
          <w:b/>
          <w:color w:val="008080"/>
          <w:sz w:val="28"/>
          <w:szCs w:val="28"/>
          <w:lang w:val="en-US"/>
        </w:rPr>
        <w:t>III</w:t>
      </w:r>
      <w:r w:rsidRPr="00676B81">
        <w:rPr>
          <w:rFonts w:ascii="Times New Roman" w:hAnsi="Times New Roman"/>
          <w:b/>
          <w:color w:val="008080"/>
          <w:sz w:val="28"/>
          <w:szCs w:val="28"/>
        </w:rPr>
        <w:t>. ПРИОРИТЕТИ И ЦЕЛИ</w:t>
      </w:r>
      <w:r w:rsidRPr="00676B81">
        <w:rPr>
          <w:rFonts w:ascii="Times New Roman" w:hAnsi="Times New Roman"/>
          <w:b/>
          <w:color w:val="008080"/>
          <w:sz w:val="28"/>
          <w:szCs w:val="28"/>
          <w:lang w:val="bg-BG"/>
        </w:rPr>
        <w:t xml:space="preserve"> В ДЕЙНОСТИТЕ ПО ПРИВАТИЗАЦИЯ И СЛЕДПРИВАТИЗАЦИОНЕН КОНТРОЛ</w:t>
      </w:r>
    </w:p>
    <w:p w:rsidR="00487689" w:rsidRPr="00487689" w:rsidRDefault="00487689" w:rsidP="00502D43">
      <w:pPr>
        <w:autoSpaceDE w:val="0"/>
        <w:autoSpaceDN w:val="0"/>
        <w:adjustRightInd w:val="0"/>
        <w:jc w:val="both"/>
      </w:pPr>
    </w:p>
    <w:p w:rsidR="00502D43" w:rsidRPr="00A901EE" w:rsidRDefault="00502D43" w:rsidP="00163AC2">
      <w:pPr>
        <w:autoSpaceDE w:val="0"/>
        <w:autoSpaceDN w:val="0"/>
        <w:adjustRightInd w:val="0"/>
        <w:jc w:val="both"/>
        <w:rPr>
          <w:color w:val="008080"/>
        </w:rPr>
      </w:pPr>
      <w:r w:rsidRPr="00A901EE">
        <w:rPr>
          <w:b/>
          <w:i/>
          <w:color w:val="008080"/>
        </w:rPr>
        <w:t>Приоритети в дейността по приватизация през 201</w:t>
      </w:r>
      <w:r w:rsidR="00BF471C">
        <w:rPr>
          <w:b/>
          <w:i/>
          <w:color w:val="008080"/>
        </w:rPr>
        <w:t>7</w:t>
      </w:r>
      <w:r w:rsidRPr="00A901EE">
        <w:rPr>
          <w:b/>
          <w:i/>
          <w:color w:val="008080"/>
        </w:rPr>
        <w:t xml:space="preserve"> г.</w:t>
      </w:r>
      <w:r w:rsidR="008E5D46" w:rsidRPr="00A901EE">
        <w:rPr>
          <w:b/>
          <w:i/>
          <w:color w:val="008080"/>
        </w:rPr>
        <w:t>:</w:t>
      </w:r>
    </w:p>
    <w:p w:rsidR="00502D43" w:rsidRPr="00487689" w:rsidRDefault="00502D43" w:rsidP="008E5D46">
      <w:pPr>
        <w:tabs>
          <w:tab w:val="num" w:pos="180"/>
        </w:tabs>
        <w:jc w:val="both"/>
        <w:rPr>
          <w:b/>
          <w:i/>
        </w:rPr>
      </w:pPr>
    </w:p>
    <w:p w:rsidR="004B64BF" w:rsidRPr="007602FF" w:rsidRDefault="004B64BF" w:rsidP="008E5D46">
      <w:pPr>
        <w:numPr>
          <w:ilvl w:val="0"/>
          <w:numId w:val="8"/>
        </w:numPr>
        <w:ind w:left="0" w:firstLine="360"/>
        <w:jc w:val="both"/>
        <w:rPr>
          <w:u w:val="single"/>
        </w:rPr>
      </w:pPr>
      <w:r w:rsidRPr="007602FF">
        <w:t>Приватизаци</w:t>
      </w:r>
      <w:r w:rsidR="00B44770" w:rsidRPr="007602FF">
        <w:t>онна продажба на</w:t>
      </w:r>
      <w:r w:rsidRPr="007602FF">
        <w:t xml:space="preserve"> </w:t>
      </w:r>
      <w:r w:rsidR="008E5D46" w:rsidRPr="00EC72CB">
        <w:t>„</w:t>
      </w:r>
      <w:r w:rsidR="00037DF4" w:rsidRPr="00EC72CB">
        <w:t>Военно издателство</w:t>
      </w:r>
      <w:r w:rsidR="008E5D46" w:rsidRPr="00EC72CB">
        <w:t>” ЕООД,  гр.</w:t>
      </w:r>
      <w:r w:rsidR="00D64461" w:rsidRPr="00EC72CB">
        <w:t xml:space="preserve"> </w:t>
      </w:r>
      <w:r w:rsidR="008E5D46" w:rsidRPr="00EC72CB">
        <w:t>София;</w:t>
      </w:r>
    </w:p>
    <w:p w:rsidR="004B64BF" w:rsidRPr="007602FF" w:rsidRDefault="004A26A9" w:rsidP="004B64BF">
      <w:pPr>
        <w:numPr>
          <w:ilvl w:val="0"/>
          <w:numId w:val="8"/>
        </w:numPr>
        <w:ind w:left="0" w:firstLine="360"/>
        <w:jc w:val="both"/>
        <w:rPr>
          <w:u w:val="single"/>
          <w:lang w:val="ru-RU"/>
        </w:rPr>
      </w:pPr>
      <w:r>
        <w:t>П</w:t>
      </w:r>
      <w:r w:rsidR="00B44770" w:rsidRPr="007602FF">
        <w:t xml:space="preserve">риватизационна продажба на </w:t>
      </w:r>
      <w:r w:rsidR="004B64BF" w:rsidRPr="007602FF">
        <w:t>държавното участие в капитал</w:t>
      </w:r>
      <w:r w:rsidR="00B819AD" w:rsidRPr="007602FF">
        <w:t>а на “</w:t>
      </w:r>
      <w:r w:rsidR="00E61F75">
        <w:t xml:space="preserve">Българска фондова борса </w:t>
      </w:r>
      <w:r w:rsidR="00B819AD" w:rsidRPr="007602FF">
        <w:t>-</w:t>
      </w:r>
      <w:r w:rsidR="00E61F75">
        <w:t xml:space="preserve"> </w:t>
      </w:r>
      <w:r w:rsidR="00B819AD" w:rsidRPr="007602FF">
        <w:t>София” АД</w:t>
      </w:r>
      <w:r w:rsidR="00E61F75">
        <w:t xml:space="preserve">  („БФБ-София“АД) </w:t>
      </w:r>
      <w:r w:rsidR="00B819AD" w:rsidRPr="007602FF">
        <w:t>, гр. София</w:t>
      </w:r>
      <w:r w:rsidR="008E5D46" w:rsidRPr="007602FF">
        <w:rPr>
          <w:lang w:val="ru-RU"/>
        </w:rPr>
        <w:t>.</w:t>
      </w:r>
    </w:p>
    <w:p w:rsidR="004B64BF" w:rsidRPr="0092525A" w:rsidRDefault="004B64BF" w:rsidP="004B64BF">
      <w:pPr>
        <w:jc w:val="both"/>
        <w:rPr>
          <w:b/>
          <w:i/>
          <w:color w:val="000000"/>
        </w:rPr>
      </w:pPr>
    </w:p>
    <w:p w:rsidR="004B64BF" w:rsidRPr="00005624" w:rsidRDefault="004B64BF" w:rsidP="00163AC2">
      <w:pPr>
        <w:jc w:val="both"/>
        <w:rPr>
          <w:b/>
          <w:i/>
          <w:color w:val="008080"/>
        </w:rPr>
      </w:pPr>
      <w:r w:rsidRPr="00005624">
        <w:rPr>
          <w:b/>
          <w:i/>
          <w:color w:val="008080"/>
        </w:rPr>
        <w:t>Приоритети в дейността по следприватизационен контрол  през 201</w:t>
      </w:r>
      <w:r w:rsidR="00BF471C">
        <w:rPr>
          <w:b/>
          <w:i/>
          <w:color w:val="008080"/>
        </w:rPr>
        <w:t>7</w:t>
      </w:r>
      <w:r w:rsidRPr="00005624">
        <w:rPr>
          <w:b/>
          <w:i/>
          <w:color w:val="008080"/>
        </w:rPr>
        <w:t xml:space="preserve"> г.:</w:t>
      </w:r>
    </w:p>
    <w:p w:rsidR="004B64BF" w:rsidRPr="00A157A3" w:rsidRDefault="004B64BF" w:rsidP="004B64BF">
      <w:pPr>
        <w:tabs>
          <w:tab w:val="num" w:pos="180"/>
        </w:tabs>
        <w:ind w:firstLine="561"/>
        <w:jc w:val="both"/>
        <w:rPr>
          <w:b/>
          <w:i/>
          <w:color w:val="FF0000"/>
        </w:rPr>
      </w:pPr>
    </w:p>
    <w:p w:rsidR="004B64BF" w:rsidRPr="00074BCB" w:rsidRDefault="004B64BF" w:rsidP="004B64BF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074BCB">
        <w:rPr>
          <w:spacing w:val="-1"/>
        </w:rPr>
        <w:t xml:space="preserve">Приключване с констатации на следприватизационния контрол по изпълнението, респ. </w:t>
      </w:r>
      <w:r w:rsidRPr="00074BCB">
        <w:t>неизпълнението на изискуемите задъл</w:t>
      </w:r>
      <w:r w:rsidR="00487689" w:rsidRPr="00074BCB">
        <w:t>ж</w:t>
      </w:r>
      <w:r w:rsidRPr="00074BCB">
        <w:t>ения по сключените приватизационни договори до 20</w:t>
      </w:r>
      <w:r w:rsidRPr="00074BCB">
        <w:rPr>
          <w:lang w:val="ru-RU"/>
        </w:rPr>
        <w:t>1</w:t>
      </w:r>
      <w:r w:rsidR="007876BA" w:rsidRPr="00074BCB">
        <w:rPr>
          <w:lang w:val="en-US"/>
        </w:rPr>
        <w:t>5</w:t>
      </w:r>
      <w:r w:rsidRPr="00074BCB">
        <w:t xml:space="preserve"> г. включително;</w:t>
      </w:r>
    </w:p>
    <w:p w:rsidR="004B64BF" w:rsidRPr="00074BCB" w:rsidRDefault="004B64BF" w:rsidP="004B64BF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074BCB">
        <w:rPr>
          <w:spacing w:val="-1"/>
        </w:rPr>
        <w:t xml:space="preserve">Приключване с констатации на следприватизационния контрол по изпълнението, респ. </w:t>
      </w:r>
      <w:r w:rsidRPr="00074BCB">
        <w:t>неизпълнението на изискуемите до 201</w:t>
      </w:r>
      <w:r w:rsidR="00CD78DC" w:rsidRPr="00074BCB">
        <w:rPr>
          <w:lang w:val="en-US"/>
        </w:rPr>
        <w:t>6</w:t>
      </w:r>
      <w:r w:rsidRPr="00074BCB">
        <w:t xml:space="preserve"> г. задължения на 80% от контролираните приватизационни договори до края на 201</w:t>
      </w:r>
      <w:r w:rsidR="00CD78DC" w:rsidRPr="00074BCB">
        <w:rPr>
          <w:lang w:val="en-US"/>
        </w:rPr>
        <w:t>7</w:t>
      </w:r>
      <w:r w:rsidRPr="00074BCB">
        <w:t xml:space="preserve"> г.;</w:t>
      </w:r>
    </w:p>
    <w:p w:rsidR="004B64BF" w:rsidRPr="00074BCB" w:rsidRDefault="004B64BF" w:rsidP="004B64BF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074BCB">
        <w:lastRenderedPageBreak/>
        <w:t>Осъществяване на контрол на място в приватизираните дружества, като метод за отчитане на договорните задължения на купувачите по приватизационни договори и с цел повишаване коректността при отчитане изпълнението/неизпълнението на поетите задължения и минимизиране на риска при следприватизационния контрол;</w:t>
      </w:r>
    </w:p>
    <w:p w:rsidR="004B64BF" w:rsidRPr="00074BCB" w:rsidRDefault="004B64BF" w:rsidP="004B64BF">
      <w:pPr>
        <w:numPr>
          <w:ilvl w:val="0"/>
          <w:numId w:val="4"/>
        </w:numPr>
        <w:tabs>
          <w:tab w:val="clear" w:pos="734"/>
        </w:tabs>
        <w:ind w:left="0" w:firstLine="374"/>
        <w:jc w:val="both"/>
        <w:rPr>
          <w:lang w:val="ru-RU"/>
        </w:rPr>
      </w:pPr>
      <w:r w:rsidRPr="00074BCB">
        <w:t>Осъществяване на правното осигуряване на следприватизационния контрол и процесуалната защита на АПСК в исково</w:t>
      </w:r>
      <w:r w:rsidR="00C31419" w:rsidRPr="00074BCB">
        <w:t>то</w:t>
      </w:r>
      <w:r w:rsidRPr="00074BCB">
        <w:t xml:space="preserve"> и изпълнително</w:t>
      </w:r>
      <w:r w:rsidR="00C31419" w:rsidRPr="00074BCB">
        <w:t>то</w:t>
      </w:r>
      <w:r w:rsidRPr="00074BCB">
        <w:t xml:space="preserve"> производств</w:t>
      </w:r>
      <w:r w:rsidR="00C31419" w:rsidRPr="00074BCB">
        <w:t>а</w:t>
      </w:r>
      <w:r w:rsidRPr="00074BCB">
        <w:t>.</w:t>
      </w:r>
    </w:p>
    <w:p w:rsidR="004B64BF" w:rsidRPr="00074BCB" w:rsidRDefault="004B64BF" w:rsidP="004B64BF">
      <w:pPr>
        <w:tabs>
          <w:tab w:val="num" w:pos="180"/>
        </w:tabs>
        <w:ind w:firstLine="561"/>
        <w:jc w:val="both"/>
        <w:rPr>
          <w:b/>
          <w:i/>
        </w:rPr>
      </w:pPr>
    </w:p>
    <w:p w:rsidR="004B64BF" w:rsidRDefault="004B64BF" w:rsidP="00163AC2">
      <w:pPr>
        <w:tabs>
          <w:tab w:val="num" w:pos="180"/>
        </w:tabs>
        <w:jc w:val="both"/>
        <w:rPr>
          <w:b/>
          <w:i/>
          <w:color w:val="008080"/>
        </w:rPr>
      </w:pPr>
      <w:r w:rsidRPr="00676B81">
        <w:rPr>
          <w:b/>
          <w:i/>
          <w:color w:val="008080"/>
        </w:rPr>
        <w:t xml:space="preserve">Цели </w:t>
      </w:r>
      <w:r w:rsidR="00E665E7">
        <w:rPr>
          <w:b/>
          <w:i/>
          <w:color w:val="008080"/>
        </w:rPr>
        <w:t>на плана</w:t>
      </w:r>
      <w:r w:rsidRPr="00676B81">
        <w:rPr>
          <w:b/>
          <w:i/>
          <w:color w:val="008080"/>
        </w:rPr>
        <w:t>:</w:t>
      </w:r>
    </w:p>
    <w:p w:rsidR="004B64BF" w:rsidRPr="00676B81" w:rsidRDefault="004B64BF" w:rsidP="004B64BF">
      <w:pPr>
        <w:tabs>
          <w:tab w:val="num" w:pos="180"/>
        </w:tabs>
        <w:ind w:firstLine="561"/>
        <w:jc w:val="both"/>
        <w:rPr>
          <w:b/>
          <w:i/>
          <w:color w:val="008080"/>
        </w:rPr>
      </w:pPr>
    </w:p>
    <w:p w:rsidR="004B64BF" w:rsidRPr="00074BCB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074BCB">
        <w:t>Успешно приключване на приватизационни проекти, при които няма съществени проблеми, възпрепятстващи продажбата;</w:t>
      </w:r>
    </w:p>
    <w:p w:rsidR="004B64BF" w:rsidRPr="00074BCB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074BCB">
        <w:t>Осигуряване на парични постъпления в държавния бюджет;</w:t>
      </w:r>
    </w:p>
    <w:p w:rsidR="004B64BF" w:rsidRPr="00074BCB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074BCB">
        <w:t>Провеждане на активен маркетинг с цел привличане на инвеститорски интерес;</w:t>
      </w:r>
    </w:p>
    <w:p w:rsidR="004B64BF" w:rsidRPr="00074BCB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074BCB">
        <w:t>Постигане на икономически ефективна приватизация;</w:t>
      </w:r>
    </w:p>
    <w:p w:rsidR="004B64BF" w:rsidRPr="00074BCB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074BCB">
        <w:t>Осъществяване на ефективен, навременен и ефикасен контрол на задължения, залегнали в приватизационните договори;</w:t>
      </w:r>
    </w:p>
    <w:p w:rsidR="004B64BF" w:rsidRPr="00074BCB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074BCB">
        <w:t>Установяване изпълнението/неизпълнението на задължения по сключени приватизационни договори;</w:t>
      </w:r>
    </w:p>
    <w:p w:rsidR="004B64BF" w:rsidRPr="00074BCB" w:rsidRDefault="004B64BF" w:rsidP="004B64BF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074BCB">
        <w:t>Подготовка на предложения за издаване на удостоверения по чл.</w:t>
      </w:r>
      <w:r w:rsidR="007141CA" w:rsidRPr="00074BCB">
        <w:rPr>
          <w:lang w:val="en-US"/>
        </w:rPr>
        <w:t xml:space="preserve"> </w:t>
      </w:r>
      <w:r w:rsidRPr="00074BCB">
        <w:t>22 б, т.</w:t>
      </w:r>
      <w:r w:rsidR="007141CA" w:rsidRPr="00074BCB">
        <w:rPr>
          <w:lang w:val="en-US"/>
        </w:rPr>
        <w:t xml:space="preserve"> </w:t>
      </w:r>
      <w:r w:rsidRPr="00074BCB">
        <w:t>7 от ЗПСК и удостоверения във връзка с чл.</w:t>
      </w:r>
      <w:r w:rsidR="007141CA" w:rsidRPr="00074BCB">
        <w:rPr>
          <w:lang w:val="en-US"/>
        </w:rPr>
        <w:t xml:space="preserve"> </w:t>
      </w:r>
      <w:r w:rsidRPr="00074BCB">
        <w:t>78, ал.</w:t>
      </w:r>
      <w:r w:rsidR="007141CA" w:rsidRPr="00074BCB">
        <w:rPr>
          <w:lang w:val="en-US"/>
        </w:rPr>
        <w:t xml:space="preserve"> </w:t>
      </w:r>
      <w:r w:rsidRPr="00074BCB">
        <w:t>2 от ЗДС</w:t>
      </w:r>
      <w:r w:rsidR="00967A6C" w:rsidRPr="00074BCB">
        <w:t xml:space="preserve"> като административна услуга, предоставяна от АПСК</w:t>
      </w:r>
      <w:r w:rsidR="007141CA" w:rsidRPr="00074BCB">
        <w:t xml:space="preserve"> и неразделна част от комплексното административно обслужване в Р. България</w:t>
      </w:r>
      <w:r w:rsidRPr="00074BCB">
        <w:t>;</w:t>
      </w:r>
    </w:p>
    <w:p w:rsidR="005B06D2" w:rsidRPr="00074BCB" w:rsidRDefault="004B64BF" w:rsidP="005B06D2">
      <w:pPr>
        <w:numPr>
          <w:ilvl w:val="0"/>
          <w:numId w:val="1"/>
        </w:numPr>
        <w:tabs>
          <w:tab w:val="clear" w:pos="734"/>
        </w:tabs>
        <w:ind w:left="0" w:firstLine="374"/>
        <w:jc w:val="both"/>
      </w:pPr>
      <w:r w:rsidRPr="00074BCB">
        <w:t>Повишаване ефективността и ефикасността на дейността по процесуалната защита на АПСК, вкл. по правно осигуряване на следприватизационния контрол в хода на иск</w:t>
      </w:r>
      <w:r w:rsidR="00163AC2" w:rsidRPr="00074BCB">
        <w:t>ово и изпълнително производство.</w:t>
      </w:r>
    </w:p>
    <w:p w:rsidR="00163AC2" w:rsidRPr="00881047" w:rsidRDefault="00163AC2" w:rsidP="00163AC2">
      <w:pPr>
        <w:ind w:left="374"/>
        <w:jc w:val="both"/>
        <w:rPr>
          <w:color w:val="0000CC"/>
          <w:highlight w:val="yellow"/>
        </w:rPr>
      </w:pPr>
    </w:p>
    <w:p w:rsidR="004B64BF" w:rsidRDefault="004B64BF" w:rsidP="00163AC2">
      <w:pPr>
        <w:jc w:val="both"/>
        <w:rPr>
          <w:b/>
          <w:i/>
          <w:color w:val="008080"/>
        </w:rPr>
      </w:pPr>
      <w:r w:rsidRPr="00676B81">
        <w:rPr>
          <w:b/>
          <w:i/>
          <w:color w:val="008080"/>
        </w:rPr>
        <w:t>Постигане на целите при спазване на следните принципи:</w:t>
      </w:r>
    </w:p>
    <w:p w:rsidR="004B64BF" w:rsidRPr="00676B81" w:rsidRDefault="004B64BF" w:rsidP="00C00137">
      <w:pPr>
        <w:jc w:val="both"/>
        <w:rPr>
          <w:b/>
          <w:i/>
          <w:color w:val="008080"/>
        </w:rPr>
      </w:pPr>
    </w:p>
    <w:p w:rsidR="004B64BF" w:rsidRPr="00074BCB" w:rsidRDefault="004B64BF" w:rsidP="004B64BF">
      <w:pPr>
        <w:numPr>
          <w:ilvl w:val="0"/>
          <w:numId w:val="2"/>
        </w:numPr>
        <w:tabs>
          <w:tab w:val="clear" w:pos="989"/>
          <w:tab w:val="num" w:pos="561"/>
        </w:tabs>
        <w:ind w:left="0" w:firstLine="374"/>
        <w:jc w:val="both"/>
      </w:pPr>
      <w:r w:rsidRPr="00074BCB">
        <w:t>Поддържане на правила и механизми за постигане на обективност и прозрачност при провеждане на процедурите;</w:t>
      </w:r>
    </w:p>
    <w:p w:rsidR="004B64BF" w:rsidRPr="00074BCB" w:rsidRDefault="004B64BF" w:rsidP="004B64BF">
      <w:pPr>
        <w:numPr>
          <w:ilvl w:val="0"/>
          <w:numId w:val="2"/>
        </w:numPr>
        <w:tabs>
          <w:tab w:val="clear" w:pos="989"/>
        </w:tabs>
        <w:ind w:left="0" w:firstLine="374"/>
        <w:jc w:val="both"/>
      </w:pPr>
      <w:r w:rsidRPr="00074BCB">
        <w:t xml:space="preserve">Осигуряване на </w:t>
      </w:r>
      <w:proofErr w:type="spellStart"/>
      <w:r w:rsidRPr="00074BCB">
        <w:t>равнопоставеност</w:t>
      </w:r>
      <w:proofErr w:type="spellEnd"/>
      <w:r w:rsidRPr="00074BCB">
        <w:t xml:space="preserve"> на инвеститорите;</w:t>
      </w:r>
    </w:p>
    <w:p w:rsidR="004B64BF" w:rsidRPr="00074BCB" w:rsidRDefault="004B64BF" w:rsidP="004B64BF">
      <w:pPr>
        <w:numPr>
          <w:ilvl w:val="0"/>
          <w:numId w:val="2"/>
        </w:numPr>
        <w:tabs>
          <w:tab w:val="clear" w:pos="989"/>
        </w:tabs>
        <w:ind w:left="0" w:firstLine="374"/>
        <w:jc w:val="both"/>
      </w:pPr>
      <w:r w:rsidRPr="00074BCB">
        <w:t>Ефективност, ефикасност и икономичност при усвояване на предоставените средства за осъществяване на дейностите по подготовка на приватизационния процес и контрола на изпълнението на поетите от купувачите задължения.</w:t>
      </w:r>
    </w:p>
    <w:p w:rsidR="004B64BF" w:rsidRDefault="004B64BF" w:rsidP="004B64BF">
      <w:pPr>
        <w:pStyle w:val="a"/>
        <w:rPr>
          <w:lang w:val="bg-BG"/>
        </w:rPr>
      </w:pPr>
    </w:p>
    <w:p w:rsidR="004B64BF" w:rsidRPr="00DA1EBD" w:rsidRDefault="004B64BF" w:rsidP="00E35EC7">
      <w:pPr>
        <w:pStyle w:val="a"/>
        <w:rPr>
          <w:rFonts w:ascii="Times New Roman" w:hAnsi="Times New Roman"/>
          <w:b/>
          <w:i/>
          <w:color w:val="008080"/>
          <w:lang w:val="bg-BG"/>
        </w:rPr>
      </w:pPr>
      <w:r w:rsidRPr="00676B81">
        <w:rPr>
          <w:rFonts w:ascii="Times New Roman" w:hAnsi="Times New Roman"/>
          <w:b/>
          <w:i/>
          <w:color w:val="008080"/>
        </w:rPr>
        <w:t>Външни фактори, които могат да окажат въздействие върху постигането на целите на плана</w:t>
      </w:r>
      <w:r w:rsidR="005F7C0C">
        <w:rPr>
          <w:rFonts w:ascii="Times New Roman" w:hAnsi="Times New Roman"/>
          <w:b/>
          <w:i/>
          <w:color w:val="008080"/>
          <w:lang w:val="bg-BG"/>
        </w:rPr>
        <w:t>:</w:t>
      </w:r>
    </w:p>
    <w:p w:rsidR="004B64BF" w:rsidRPr="0046368E" w:rsidRDefault="004B64BF" w:rsidP="004B64BF">
      <w:pPr>
        <w:numPr>
          <w:ilvl w:val="0"/>
          <w:numId w:val="7"/>
        </w:numPr>
        <w:ind w:left="0" w:firstLine="374"/>
        <w:jc w:val="both"/>
      </w:pPr>
      <w:r w:rsidRPr="0046368E">
        <w:t>Слаб инвеститорски интерес;</w:t>
      </w:r>
    </w:p>
    <w:p w:rsidR="004B64BF" w:rsidRPr="007602FF" w:rsidRDefault="004B64BF" w:rsidP="004B64BF">
      <w:pPr>
        <w:numPr>
          <w:ilvl w:val="0"/>
          <w:numId w:val="7"/>
        </w:numPr>
        <w:ind w:left="0" w:firstLine="374"/>
        <w:jc w:val="both"/>
      </w:pPr>
      <w:r w:rsidRPr="007602FF">
        <w:t>Влияние на финансовата и икономическа криза върху инвестиционния процес;</w:t>
      </w:r>
    </w:p>
    <w:p w:rsidR="004B64BF" w:rsidRPr="003E6A13" w:rsidRDefault="004B64BF" w:rsidP="004B64BF">
      <w:pPr>
        <w:numPr>
          <w:ilvl w:val="0"/>
          <w:numId w:val="7"/>
        </w:numPr>
        <w:ind w:left="0" w:firstLine="374"/>
        <w:jc w:val="both"/>
      </w:pPr>
      <w:r w:rsidRPr="003E6A13">
        <w:t>Влошаване на финансовото състояние на някои търговски дружества, подлежащи на приватизация, вследствие на което намалява инвеститорския интерес към тях;</w:t>
      </w:r>
    </w:p>
    <w:p w:rsidR="004B64BF" w:rsidRPr="0046368E" w:rsidRDefault="004B64BF" w:rsidP="004B64BF">
      <w:pPr>
        <w:numPr>
          <w:ilvl w:val="0"/>
          <w:numId w:val="7"/>
        </w:numPr>
        <w:ind w:left="0" w:firstLine="374"/>
        <w:jc w:val="both"/>
      </w:pPr>
      <w:r w:rsidRPr="0046368E">
        <w:t>Липса на съдействие и сътрудничество между институциите, заинтересованите лица и търговските дружества, обекти на приватизация;</w:t>
      </w:r>
    </w:p>
    <w:p w:rsidR="004B64BF" w:rsidRPr="0046368E" w:rsidRDefault="004B64BF" w:rsidP="004B64BF">
      <w:pPr>
        <w:numPr>
          <w:ilvl w:val="0"/>
          <w:numId w:val="7"/>
        </w:numPr>
        <w:ind w:left="0" w:firstLine="374"/>
        <w:jc w:val="both"/>
      </w:pPr>
      <w:r w:rsidRPr="0046368E">
        <w:t>Дълги срокове по решаване на съдебни спорове;</w:t>
      </w:r>
    </w:p>
    <w:p w:rsidR="004B64BF" w:rsidRPr="0046368E" w:rsidRDefault="004B64BF" w:rsidP="004B64BF">
      <w:pPr>
        <w:numPr>
          <w:ilvl w:val="0"/>
          <w:numId w:val="7"/>
        </w:numPr>
        <w:ind w:left="0" w:firstLine="374"/>
        <w:jc w:val="both"/>
      </w:pPr>
      <w:r w:rsidRPr="0046368E">
        <w:t xml:space="preserve">Липса на активи и финансов ресурс на купувачи с просрочени задължения към АПСК, които да осигурят пълно погасяване на задълженията спрямо Агенцията; </w:t>
      </w:r>
    </w:p>
    <w:p w:rsidR="004B64BF" w:rsidRPr="0046368E" w:rsidRDefault="004B64BF" w:rsidP="004B64BF">
      <w:pPr>
        <w:numPr>
          <w:ilvl w:val="0"/>
          <w:numId w:val="7"/>
        </w:numPr>
        <w:ind w:left="0" w:firstLine="374"/>
        <w:jc w:val="both"/>
      </w:pPr>
      <w:r w:rsidRPr="0046368E">
        <w:t>Трудности при набиране и/или актуализиране на правната и финансовата инфо</w:t>
      </w:r>
      <w:r w:rsidR="000367AA" w:rsidRPr="0046368E">
        <w:t>рмация за съответното дружество.</w:t>
      </w:r>
    </w:p>
    <w:p w:rsidR="002C7EDC" w:rsidRDefault="002C7EDC" w:rsidP="003664C4">
      <w:pPr>
        <w:jc w:val="both"/>
        <w:rPr>
          <w:b/>
          <w:color w:val="008080"/>
          <w:sz w:val="28"/>
          <w:szCs w:val="28"/>
        </w:rPr>
      </w:pPr>
    </w:p>
    <w:p w:rsidR="002C7EDC" w:rsidRDefault="002C7EDC" w:rsidP="003664C4">
      <w:pPr>
        <w:jc w:val="both"/>
        <w:rPr>
          <w:b/>
          <w:color w:val="008080"/>
          <w:sz w:val="28"/>
          <w:szCs w:val="28"/>
        </w:rPr>
      </w:pPr>
    </w:p>
    <w:p w:rsidR="002C7EDC" w:rsidRDefault="002C7EDC" w:rsidP="003664C4">
      <w:pPr>
        <w:jc w:val="both"/>
        <w:rPr>
          <w:b/>
          <w:color w:val="008080"/>
          <w:sz w:val="28"/>
          <w:szCs w:val="28"/>
        </w:rPr>
      </w:pPr>
    </w:p>
    <w:p w:rsidR="004B64BF" w:rsidRPr="00676B81" w:rsidRDefault="004B64BF" w:rsidP="003664C4">
      <w:pPr>
        <w:jc w:val="both"/>
        <w:rPr>
          <w:b/>
          <w:color w:val="008080"/>
          <w:sz w:val="28"/>
          <w:szCs w:val="28"/>
        </w:rPr>
      </w:pPr>
      <w:r w:rsidRPr="00676B81">
        <w:rPr>
          <w:b/>
          <w:color w:val="008080"/>
          <w:sz w:val="28"/>
          <w:szCs w:val="28"/>
        </w:rPr>
        <w:t>1. Брой  приватизационни продажби</w:t>
      </w:r>
    </w:p>
    <w:p w:rsidR="00151ED9" w:rsidRPr="00074BCB" w:rsidRDefault="004B64BF" w:rsidP="0017128A">
      <w:pPr>
        <w:jc w:val="both"/>
      </w:pPr>
      <w:r w:rsidRPr="0092525A">
        <w:rPr>
          <w:color w:val="000000"/>
        </w:rPr>
        <w:br/>
      </w:r>
      <w:r w:rsidRPr="00074BCB">
        <w:t>Прогнозата за очаквания брой сделки през 201</w:t>
      </w:r>
      <w:r w:rsidR="00CD02DD" w:rsidRPr="00074BCB">
        <w:t>7</w:t>
      </w:r>
      <w:r w:rsidRPr="00074BCB">
        <w:t xml:space="preserve"> г. е изготвена след отчитане на състоянието на подлежащия на приватизация ресурс</w:t>
      </w:r>
      <w:r w:rsidR="00151ED9" w:rsidRPr="00074BCB">
        <w:t xml:space="preserve"> и</w:t>
      </w:r>
      <w:r w:rsidRPr="00074BCB">
        <w:t xml:space="preserve"> приватизационната готовност на обектите</w:t>
      </w:r>
      <w:r w:rsidR="00151ED9" w:rsidRPr="00074BCB">
        <w:t xml:space="preserve">. </w:t>
      </w:r>
      <w:r w:rsidR="00A45B82" w:rsidRPr="00074BCB">
        <w:t>Взети са предвид и определени рискове, специфични за осъществяването на процеса на приватизация.</w:t>
      </w:r>
      <w:r w:rsidR="00437C69">
        <w:t xml:space="preserve"> Неустановената политическа обстановка във връзка с провеждането на предсрочни парламентарни избори е възможно да доведе до забавяне или отлагане на някои приватизационни проекти.</w:t>
      </w:r>
    </w:p>
    <w:p w:rsidR="005F04A6" w:rsidRPr="00074BCB" w:rsidRDefault="005F04A6" w:rsidP="00C00137">
      <w:pPr>
        <w:jc w:val="both"/>
      </w:pPr>
    </w:p>
    <w:p w:rsidR="008E5D46" w:rsidRPr="00074BCB" w:rsidRDefault="004B64BF" w:rsidP="00A94B89">
      <w:pPr>
        <w:jc w:val="both"/>
      </w:pPr>
      <w:r w:rsidRPr="00074BCB">
        <w:t xml:space="preserve">АПСК </w:t>
      </w:r>
      <w:r w:rsidR="00997F78" w:rsidRPr="00074BCB">
        <w:t>ще насочи усилията си</w:t>
      </w:r>
      <w:r w:rsidRPr="00074BCB">
        <w:t xml:space="preserve"> да реализира </w:t>
      </w:r>
      <w:r w:rsidRPr="00574EE1">
        <w:rPr>
          <w:b/>
          <w:color w:val="008080"/>
        </w:rPr>
        <w:t>3</w:t>
      </w:r>
      <w:r w:rsidR="00A835BC">
        <w:rPr>
          <w:b/>
          <w:color w:val="008080"/>
        </w:rPr>
        <w:t>0</w:t>
      </w:r>
      <w:r w:rsidRPr="00574EE1">
        <w:rPr>
          <w:color w:val="008080"/>
        </w:rPr>
        <w:t xml:space="preserve"> </w:t>
      </w:r>
      <w:r w:rsidRPr="00574EE1">
        <w:rPr>
          <w:b/>
          <w:color w:val="008080"/>
          <w:lang w:val="ru-RU"/>
        </w:rPr>
        <w:t>приватизационни продажби</w:t>
      </w:r>
      <w:r w:rsidRPr="00574EE1">
        <w:rPr>
          <w:lang w:val="ru-RU"/>
        </w:rPr>
        <w:t xml:space="preserve"> </w:t>
      </w:r>
      <w:r w:rsidRPr="00074BCB">
        <w:rPr>
          <w:lang w:val="ru-RU"/>
        </w:rPr>
        <w:t>на</w:t>
      </w:r>
      <w:r w:rsidRPr="00074BCB">
        <w:t>:  дялове или акции – собственост на държавата в търговски дружества с повече от 50 на сто държавно участие в капитала;  обособени части от имуществото на търговски дружества с повече от 50 на сто държавно участие в капитала; дялове или акции – собственост на търговски дружества с повече от 50 на сто държавно участие в капитала в други търговски дружества;  обособени части от имуществото на търговски дружества, чийто капитал е собственост на други търговски дружества с повече от 50 на сто държавно участие в капитала;   имоти - частна държавна собственост с данъчна оценка над 10 000 лв.</w:t>
      </w:r>
    </w:p>
    <w:p w:rsidR="002A787A" w:rsidRDefault="002A787A" w:rsidP="002A787A">
      <w:pPr>
        <w:ind w:firstLine="561"/>
        <w:jc w:val="both"/>
        <w:rPr>
          <w:color w:val="0000CC"/>
        </w:rPr>
      </w:pPr>
    </w:p>
    <w:p w:rsidR="008379C8" w:rsidRDefault="002A787A" w:rsidP="00207CF0">
      <w:pPr>
        <w:jc w:val="both"/>
      </w:pPr>
      <w:r w:rsidRPr="00074BCB">
        <w:t>Предвидени за приватизация през 201</w:t>
      </w:r>
      <w:r w:rsidR="00A835BC" w:rsidRPr="00074BCB">
        <w:t>7</w:t>
      </w:r>
      <w:r w:rsidRPr="00074BCB">
        <w:t xml:space="preserve"> г. са обекти, за голяма</w:t>
      </w:r>
      <w:r w:rsidR="00D64461" w:rsidRPr="00074BCB">
        <w:t>та</w:t>
      </w:r>
      <w:r w:rsidRPr="00074BCB">
        <w:t xml:space="preserve"> част от които през предходн</w:t>
      </w:r>
      <w:r w:rsidR="00E20F2E" w:rsidRPr="00074BCB">
        <w:t>и</w:t>
      </w:r>
      <w:r w:rsidRPr="00074BCB">
        <w:t xml:space="preserve"> годин</w:t>
      </w:r>
      <w:r w:rsidR="00E20F2E" w:rsidRPr="00074BCB">
        <w:t>и</w:t>
      </w:r>
      <w:r w:rsidR="00587391" w:rsidRPr="00074BCB">
        <w:t xml:space="preserve"> са извършва</w:t>
      </w:r>
      <w:r w:rsidRPr="00074BCB">
        <w:t xml:space="preserve">ни дейности по подготовка </w:t>
      </w:r>
      <w:r w:rsidR="00D64461" w:rsidRPr="00074BCB">
        <w:t>на</w:t>
      </w:r>
      <w:r w:rsidRPr="00074BCB">
        <w:t xml:space="preserve"> приватизационна продажба. </w:t>
      </w:r>
      <w:r w:rsidR="00587391" w:rsidRPr="00074BCB">
        <w:t>Поради различни проблеми, работа</w:t>
      </w:r>
      <w:r w:rsidR="002C7EDC">
        <w:t>та</w:t>
      </w:r>
      <w:r w:rsidR="00587391" w:rsidRPr="00074BCB">
        <w:t xml:space="preserve"> по тези проекти е била преустановена или забавена.</w:t>
      </w:r>
      <w:r w:rsidR="006D2FEF" w:rsidRPr="007E731E">
        <w:t xml:space="preserve"> </w:t>
      </w:r>
    </w:p>
    <w:p w:rsidR="00E20F2E" w:rsidRPr="00074BCB" w:rsidRDefault="00E20F2E" w:rsidP="00E20F2E">
      <w:pPr>
        <w:jc w:val="both"/>
      </w:pPr>
    </w:p>
    <w:p w:rsidR="00F51595" w:rsidRPr="00074BCB" w:rsidRDefault="00BA07D5" w:rsidP="00F51595">
      <w:pPr>
        <w:jc w:val="both"/>
      </w:pPr>
      <w:r w:rsidRPr="00074BCB">
        <w:t xml:space="preserve">И през настоящата година </w:t>
      </w:r>
      <w:r w:rsidR="00F51595" w:rsidRPr="00074BCB">
        <w:t xml:space="preserve">Агенцията </w:t>
      </w:r>
      <w:r w:rsidRPr="00074BCB">
        <w:t xml:space="preserve">ще </w:t>
      </w:r>
      <w:r w:rsidR="00F51595" w:rsidRPr="00074BCB">
        <w:t>продълж</w:t>
      </w:r>
      <w:r w:rsidRPr="00074BCB">
        <w:t>и</w:t>
      </w:r>
      <w:r w:rsidR="00F51595" w:rsidRPr="00074BCB">
        <w:t xml:space="preserve"> работа по проекта за приватизация </w:t>
      </w:r>
      <w:r w:rsidR="00E64A50" w:rsidRPr="00074BCB">
        <w:t xml:space="preserve">на </w:t>
      </w:r>
      <w:r w:rsidR="00F51595" w:rsidRPr="00074BCB">
        <w:t>д</w:t>
      </w:r>
      <w:r w:rsidR="0050773F" w:rsidRPr="00074BCB">
        <w:t xml:space="preserve">ържавния дял в капитала на </w:t>
      </w:r>
      <w:r w:rsidR="00682094" w:rsidRPr="00074BCB">
        <w:t>„</w:t>
      </w:r>
      <w:r w:rsidR="00C25543">
        <w:t>БФБ-София“АД</w:t>
      </w:r>
      <w:r w:rsidR="007338AC" w:rsidRPr="00074BCB">
        <w:t>, гр. София</w:t>
      </w:r>
      <w:r w:rsidR="00F51595" w:rsidRPr="00074BCB">
        <w:t>.</w:t>
      </w:r>
      <w:r w:rsidR="0050773F" w:rsidRPr="00074BCB">
        <w:t xml:space="preserve"> </w:t>
      </w:r>
      <w:r w:rsidR="007338AC" w:rsidRPr="00074BCB">
        <w:t xml:space="preserve"> </w:t>
      </w:r>
      <w:r w:rsidRPr="00074BCB">
        <w:t>Очаква се след прилагане на мерки за засилване на фондовата търговия</w:t>
      </w:r>
      <w:r w:rsidR="0032010C" w:rsidRPr="00074BCB">
        <w:t xml:space="preserve"> и повишаване капитализацията на „БФБ-София“ АД, да бъде привлечен </w:t>
      </w:r>
      <w:r w:rsidR="00F51595" w:rsidRPr="00074BCB">
        <w:t>стратегически инв</w:t>
      </w:r>
      <w:r w:rsidR="00682094" w:rsidRPr="00074BCB">
        <w:t xml:space="preserve">еститор – </w:t>
      </w:r>
      <w:r w:rsidR="0032010C" w:rsidRPr="00074BCB">
        <w:t>голям борсов оператор.</w:t>
      </w:r>
      <w:r w:rsidR="00F51595" w:rsidRPr="00074BCB">
        <w:t xml:space="preserve"> </w:t>
      </w:r>
      <w:r w:rsidR="004352C9" w:rsidRPr="00074BCB">
        <w:t xml:space="preserve">Наличието на сериозен инвеститорски интерес от страна на голяма борса, която да купи дял от „БФБ-София“ АД, е необходимо условие за </w:t>
      </w:r>
      <w:r w:rsidR="002C7EDC">
        <w:t xml:space="preserve">успешно </w:t>
      </w:r>
      <w:r w:rsidR="004352C9" w:rsidRPr="00074BCB">
        <w:t>финализиране на приватизационния проект.</w:t>
      </w:r>
    </w:p>
    <w:p w:rsidR="00E677BA" w:rsidRDefault="00E677BA" w:rsidP="00E677BA">
      <w:pPr>
        <w:jc w:val="both"/>
      </w:pPr>
    </w:p>
    <w:p w:rsidR="000607F2" w:rsidRPr="000607F2" w:rsidRDefault="000607F2" w:rsidP="000607F2">
      <w:pPr>
        <w:jc w:val="both"/>
      </w:pPr>
      <w:r w:rsidRPr="000607F2">
        <w:t>Агенцията има готовност да работи по проекти</w:t>
      </w:r>
      <w:r w:rsidR="002C7EDC">
        <w:t>те</w:t>
      </w:r>
      <w:r w:rsidRPr="000607F2">
        <w:t xml:space="preserve"> за приватизационна продажба на дружествата „МОНТАЖИ“ ЕАД, гр. София, “Овча купел” ЕООД, гр. София  и </w:t>
      </w:r>
      <w:r w:rsidR="001A0E45">
        <w:t xml:space="preserve"> </w:t>
      </w:r>
      <w:r w:rsidRPr="000607F2">
        <w:t xml:space="preserve">99,09% от капитала на „БУЛГАРПЛОДЕКСПОРТ“ ООД, </w:t>
      </w:r>
      <w:r w:rsidR="001A0E45">
        <w:t xml:space="preserve">гр. София, </w:t>
      </w:r>
      <w:r w:rsidR="002C7EDC">
        <w:t>след съответното предложение от компетентния орган за управление на дружеството, собственик на капитала в тях</w:t>
      </w:r>
      <w:r w:rsidRPr="000607F2">
        <w:t>.</w:t>
      </w:r>
    </w:p>
    <w:p w:rsidR="0050773F" w:rsidRPr="00487689" w:rsidRDefault="0050773F" w:rsidP="00D171AC">
      <w:pPr>
        <w:jc w:val="both"/>
      </w:pPr>
    </w:p>
    <w:p w:rsidR="00482C7B" w:rsidRPr="00074BCB" w:rsidRDefault="00151ED9" w:rsidP="00ED1F6C">
      <w:pPr>
        <w:jc w:val="both"/>
      </w:pPr>
      <w:r w:rsidRPr="00074BCB">
        <w:t>Очаква се да продължи наблюдаващото се леко повишаване на инвестиционния интерес към недвижимите имоти</w:t>
      </w:r>
      <w:r w:rsidR="00E13A10">
        <w:t>, предлагани от</w:t>
      </w:r>
      <w:r w:rsidRPr="00074BCB">
        <w:t xml:space="preserve"> </w:t>
      </w:r>
      <w:r w:rsidR="0050773F" w:rsidRPr="00074BCB">
        <w:t>АПСК</w:t>
      </w:r>
      <w:r w:rsidR="00E13A10">
        <w:t xml:space="preserve">. Предвижда се през </w:t>
      </w:r>
      <w:r w:rsidR="00A23CC6">
        <w:t>годината да бъдат</w:t>
      </w:r>
      <w:r w:rsidR="0050773F" w:rsidRPr="00074BCB">
        <w:t xml:space="preserve"> </w:t>
      </w:r>
      <w:r w:rsidR="00A23CC6">
        <w:t>обявени</w:t>
      </w:r>
      <w:r w:rsidR="008F45D7" w:rsidRPr="00074BCB">
        <w:t xml:space="preserve"> за приватизационна продажба</w:t>
      </w:r>
      <w:r w:rsidR="0050773F" w:rsidRPr="00074BCB">
        <w:t>:</w:t>
      </w:r>
    </w:p>
    <w:p w:rsidR="00482C7B" w:rsidRPr="00074BCB" w:rsidRDefault="0050773F" w:rsidP="006B22D2">
      <w:pPr>
        <w:pStyle w:val="ListParagraph"/>
        <w:numPr>
          <w:ilvl w:val="0"/>
          <w:numId w:val="12"/>
        </w:numPr>
        <w:jc w:val="both"/>
        <w:rPr>
          <w:lang w:val="ru-RU"/>
        </w:rPr>
      </w:pPr>
      <w:r w:rsidRPr="00074BCB">
        <w:t>имоти-частна държавна собственост</w:t>
      </w:r>
      <w:r w:rsidRPr="00074BCB">
        <w:rPr>
          <w:lang w:val="ru-RU"/>
        </w:rPr>
        <w:t xml:space="preserve">, </w:t>
      </w:r>
      <w:r w:rsidRPr="00074BCB">
        <w:t>предложени от областните управители</w:t>
      </w:r>
      <w:r w:rsidR="00E048B8" w:rsidRPr="00074BCB">
        <w:rPr>
          <w:lang w:val="ru-RU"/>
        </w:rPr>
        <w:t>;</w:t>
      </w:r>
    </w:p>
    <w:p w:rsidR="00482C7B" w:rsidRPr="00074BCB" w:rsidRDefault="0050773F" w:rsidP="006B22D2">
      <w:pPr>
        <w:pStyle w:val="ListParagraph"/>
        <w:numPr>
          <w:ilvl w:val="0"/>
          <w:numId w:val="12"/>
        </w:numPr>
        <w:jc w:val="both"/>
      </w:pPr>
      <w:r w:rsidRPr="00074BCB">
        <w:t>имоти-частна държавна собственост с отпаднала необходимост, предложени за про</w:t>
      </w:r>
      <w:r w:rsidR="00151ED9" w:rsidRPr="00074BCB">
        <w:t>дажба от МВР, МЗХ, БАБХ и от МФ.</w:t>
      </w:r>
    </w:p>
    <w:p w:rsidR="0050773F" w:rsidRPr="00074BCB" w:rsidRDefault="001F7CAA" w:rsidP="006B22D2">
      <w:pPr>
        <w:pStyle w:val="ListParagraph"/>
        <w:numPr>
          <w:ilvl w:val="0"/>
          <w:numId w:val="12"/>
        </w:numPr>
        <w:jc w:val="both"/>
        <w:rPr>
          <w:lang w:val="ru-RU"/>
        </w:rPr>
      </w:pPr>
      <w:r>
        <w:t xml:space="preserve">недвижими имоти, представляващи </w:t>
      </w:r>
      <w:r w:rsidR="0050773F" w:rsidRPr="00074BCB">
        <w:t xml:space="preserve">обособени части от търговските дружества „Български пощи“ ЕАД, гр. София, </w:t>
      </w:r>
      <w:r w:rsidR="00A23CC6">
        <w:t>„ДКК“</w:t>
      </w:r>
      <w:r w:rsidR="00E622BB">
        <w:t xml:space="preserve"> </w:t>
      </w:r>
      <w:r w:rsidR="00A23CC6">
        <w:t xml:space="preserve">ЕАД, гр. София, </w:t>
      </w:r>
      <w:r w:rsidR="00753524" w:rsidRPr="00074BCB">
        <w:t>„Транспортен диагностично-консулта</w:t>
      </w:r>
      <w:r w:rsidR="00A23CC6">
        <w:t xml:space="preserve">тивен център“ </w:t>
      </w:r>
      <w:r w:rsidR="00334252">
        <w:t>ЕООД, гр. Бургас,</w:t>
      </w:r>
      <w:r w:rsidR="00A23CC6">
        <w:t xml:space="preserve"> </w:t>
      </w:r>
      <w:r w:rsidR="00254AB0" w:rsidRPr="00074BCB">
        <w:t>„</w:t>
      </w:r>
      <w:r w:rsidR="00334252">
        <w:t xml:space="preserve">ВМЗ“ </w:t>
      </w:r>
      <w:r w:rsidR="00254AB0" w:rsidRPr="00074BCB">
        <w:t>ЕАД, гр. Сопот.</w:t>
      </w:r>
    </w:p>
    <w:p w:rsidR="0050773F" w:rsidRPr="00074BCB" w:rsidRDefault="0050773F" w:rsidP="0050773F">
      <w:pPr>
        <w:ind w:firstLine="561"/>
        <w:jc w:val="both"/>
        <w:rPr>
          <w:lang w:val="ru-RU"/>
        </w:rPr>
      </w:pPr>
      <w:r w:rsidRPr="00074BCB">
        <w:rPr>
          <w:lang w:val="ru-RU"/>
        </w:rPr>
        <w:t xml:space="preserve"> </w:t>
      </w:r>
    </w:p>
    <w:p w:rsidR="002C7EDC" w:rsidRDefault="002C7EDC" w:rsidP="00084300">
      <w:pPr>
        <w:jc w:val="both"/>
        <w:rPr>
          <w:lang w:val="ru-RU"/>
        </w:rPr>
      </w:pPr>
    </w:p>
    <w:p w:rsidR="002C7EDC" w:rsidRDefault="002C7EDC" w:rsidP="00084300">
      <w:pPr>
        <w:jc w:val="both"/>
        <w:rPr>
          <w:lang w:val="ru-RU"/>
        </w:rPr>
      </w:pPr>
    </w:p>
    <w:p w:rsidR="002C7EDC" w:rsidRDefault="002C7EDC" w:rsidP="00084300">
      <w:pPr>
        <w:jc w:val="both"/>
        <w:rPr>
          <w:lang w:val="ru-RU"/>
        </w:rPr>
      </w:pPr>
    </w:p>
    <w:p w:rsidR="00C00137" w:rsidRPr="00074BCB" w:rsidRDefault="00750D81" w:rsidP="00084300">
      <w:pPr>
        <w:jc w:val="both"/>
        <w:rPr>
          <w:lang w:val="en-US"/>
        </w:rPr>
      </w:pPr>
      <w:r w:rsidRPr="00074BCB">
        <w:rPr>
          <w:lang w:val="ru-RU"/>
        </w:rPr>
        <w:t>Агенцията предвижда да предлож</w:t>
      </w:r>
      <w:r w:rsidR="0050773F" w:rsidRPr="00074BCB">
        <w:rPr>
          <w:lang w:val="ru-RU"/>
        </w:rPr>
        <w:t xml:space="preserve">и за продажба дялови участия, </w:t>
      </w:r>
      <w:r w:rsidR="0050773F" w:rsidRPr="00074BCB">
        <w:t>собственост на търговски дружества с повече от 50 на сто държавно участие в капитала в други търговски дружества</w:t>
      </w:r>
      <w:r w:rsidR="00260569" w:rsidRPr="00074BCB">
        <w:rPr>
          <w:lang w:val="en-US"/>
        </w:rPr>
        <w:t xml:space="preserve">. </w:t>
      </w:r>
      <w:r w:rsidR="00260569" w:rsidRPr="00074BCB">
        <w:t>През този период ще се поднови работата по проектите за продажба на дяловите участия на: „ТЕРЕМ“ ЕАД в капитала на „ТЕРЕМ – Генерал Владимир Заимов“ ООД, гр. Божурище</w:t>
      </w:r>
      <w:r w:rsidR="002C7EDC">
        <w:t xml:space="preserve"> и дяловото участие на </w:t>
      </w:r>
      <w:r w:rsidR="009157EE">
        <w:t>„Интендантско обслужване“ ЕАД в ЗАД „Армеец“</w:t>
      </w:r>
      <w:r w:rsidR="00260569" w:rsidRPr="00074BCB">
        <w:t>.</w:t>
      </w:r>
    </w:p>
    <w:p w:rsidR="00260569" w:rsidRPr="00074BCB" w:rsidRDefault="00260569" w:rsidP="00F51B17">
      <w:pPr>
        <w:jc w:val="both"/>
        <w:rPr>
          <w:lang w:val="en-US"/>
        </w:rPr>
      </w:pPr>
    </w:p>
    <w:p w:rsidR="004B64BF" w:rsidRPr="00074BCB" w:rsidRDefault="00682094" w:rsidP="00F51B17">
      <w:pPr>
        <w:jc w:val="both"/>
      </w:pPr>
      <w:r w:rsidRPr="00074BCB">
        <w:t>АПСК</w:t>
      </w:r>
      <w:r w:rsidR="004B64BF" w:rsidRPr="00074BCB">
        <w:t xml:space="preserve"> ще продължи да използва възможностите на търговската система на “</w:t>
      </w:r>
      <w:r w:rsidRPr="00074BCB">
        <w:t>БФБ</w:t>
      </w:r>
      <w:r w:rsidR="004B64BF" w:rsidRPr="00074BCB">
        <w:t xml:space="preserve"> - София” АД, гр. София за провеждане на централизирани и неприсъствени публични търгове. Ускорените процедури при провеждане на тези търгове са ефективни  методи за продажба на пакети акции/дялове от дружествата с под 50 на сто държавно участие в капитала.</w:t>
      </w:r>
    </w:p>
    <w:p w:rsidR="0001688B" w:rsidRPr="00074BCB" w:rsidRDefault="0001688B" w:rsidP="004B64BF">
      <w:pPr>
        <w:jc w:val="both"/>
      </w:pPr>
    </w:p>
    <w:p w:rsidR="004B64BF" w:rsidRPr="00074BCB" w:rsidRDefault="004B64BF" w:rsidP="002A1BEB">
      <w:pPr>
        <w:jc w:val="both"/>
      </w:pPr>
      <w:r w:rsidRPr="00074BCB">
        <w:t>Списък на по-значимите проекти, за които АПСК ще работи за осъществяване на приватизационни продажби през 201</w:t>
      </w:r>
      <w:r w:rsidR="00E03F8D" w:rsidRPr="00074BCB">
        <w:t>7</w:t>
      </w:r>
      <w:r w:rsidRPr="00074BCB">
        <w:t xml:space="preserve"> г. :</w:t>
      </w:r>
    </w:p>
    <w:p w:rsidR="002A1BEB" w:rsidRDefault="002A1BEB" w:rsidP="002A1BEB">
      <w:pPr>
        <w:jc w:val="both"/>
      </w:pPr>
    </w:p>
    <w:p w:rsidR="009157EE" w:rsidRPr="000C2E52" w:rsidRDefault="009157EE" w:rsidP="002A1BEB">
      <w:pPr>
        <w:jc w:val="both"/>
      </w:pPr>
    </w:p>
    <w:tbl>
      <w:tblPr>
        <w:tblW w:w="8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5789"/>
        <w:gridCol w:w="1181"/>
        <w:gridCol w:w="1533"/>
      </w:tblGrid>
      <w:tr w:rsidR="004B64BF" w:rsidRPr="00982E73" w:rsidTr="008D0C78">
        <w:trPr>
          <w:trHeight w:val="650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D2F2FA"/>
          </w:tcPr>
          <w:p w:rsidR="004B64BF" w:rsidRPr="00633E67" w:rsidRDefault="004B64BF" w:rsidP="00B2598E">
            <w:pPr>
              <w:jc w:val="center"/>
              <w:rPr>
                <w:b/>
                <w:sz w:val="16"/>
                <w:szCs w:val="16"/>
              </w:rPr>
            </w:pPr>
          </w:p>
          <w:p w:rsidR="004B64BF" w:rsidRPr="00633E67" w:rsidRDefault="004B64BF" w:rsidP="00B2598E">
            <w:pPr>
              <w:jc w:val="center"/>
              <w:rPr>
                <w:b/>
                <w:sz w:val="16"/>
                <w:szCs w:val="16"/>
              </w:rPr>
            </w:pPr>
            <w:r w:rsidRPr="00633E6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D2F2FA"/>
            <w:vAlign w:val="center"/>
          </w:tcPr>
          <w:p w:rsidR="004B64BF" w:rsidRPr="00633E67" w:rsidRDefault="004B64BF" w:rsidP="00B2598E">
            <w:pPr>
              <w:jc w:val="center"/>
              <w:rPr>
                <w:b/>
                <w:sz w:val="16"/>
                <w:szCs w:val="16"/>
              </w:rPr>
            </w:pPr>
            <w:r w:rsidRPr="00633E67">
              <w:rPr>
                <w:b/>
                <w:sz w:val="16"/>
                <w:szCs w:val="16"/>
              </w:rPr>
              <w:t>ДРУЖЕСТВО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2F2FA"/>
            <w:vAlign w:val="center"/>
          </w:tcPr>
          <w:p w:rsidR="004B64BF" w:rsidRPr="00633E67" w:rsidRDefault="004B64BF" w:rsidP="00B2598E">
            <w:pPr>
              <w:jc w:val="center"/>
              <w:rPr>
                <w:b/>
                <w:sz w:val="16"/>
                <w:szCs w:val="16"/>
              </w:rPr>
            </w:pPr>
            <w:r w:rsidRPr="00633E67">
              <w:rPr>
                <w:b/>
                <w:sz w:val="16"/>
                <w:szCs w:val="16"/>
              </w:rPr>
              <w:t>ДЪРЖАВНО УЧАСТИЕ</w:t>
            </w:r>
          </w:p>
          <w:p w:rsidR="004B64BF" w:rsidRPr="00633E67" w:rsidRDefault="004B64BF" w:rsidP="00B2598E">
            <w:pPr>
              <w:jc w:val="center"/>
              <w:rPr>
                <w:b/>
                <w:sz w:val="16"/>
                <w:szCs w:val="16"/>
              </w:rPr>
            </w:pPr>
            <w:r w:rsidRPr="00633E67">
              <w:rPr>
                <w:b/>
                <w:sz w:val="16"/>
                <w:szCs w:val="16"/>
              </w:rPr>
              <w:t>( %)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D2F2FA"/>
            <w:vAlign w:val="center"/>
          </w:tcPr>
          <w:p w:rsidR="004B64BF" w:rsidRPr="00633E67" w:rsidRDefault="004B64BF" w:rsidP="00B2598E">
            <w:pPr>
              <w:jc w:val="center"/>
              <w:rPr>
                <w:b/>
                <w:sz w:val="16"/>
                <w:szCs w:val="16"/>
              </w:rPr>
            </w:pPr>
            <w:r w:rsidRPr="00633E67">
              <w:rPr>
                <w:b/>
                <w:sz w:val="16"/>
                <w:szCs w:val="16"/>
              </w:rPr>
              <w:t>СОБСТВЕНОСТ</w:t>
            </w:r>
          </w:p>
        </w:tc>
      </w:tr>
      <w:tr w:rsidR="008E5D46" w:rsidRPr="00982E73" w:rsidTr="00EC0AA1">
        <w:trPr>
          <w:trHeight w:val="380"/>
        </w:trPr>
        <w:tc>
          <w:tcPr>
            <w:tcW w:w="419" w:type="dxa"/>
            <w:shd w:val="clear" w:color="auto" w:fill="auto"/>
            <w:vAlign w:val="bottom"/>
          </w:tcPr>
          <w:p w:rsidR="008E5D46" w:rsidRPr="00B2598E" w:rsidRDefault="008E5D46" w:rsidP="00B25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8E5D46" w:rsidRPr="00B2598E" w:rsidRDefault="00397958" w:rsidP="0039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8E5D46" w:rsidRPr="00B2598E">
              <w:rPr>
                <w:sz w:val="20"/>
                <w:szCs w:val="20"/>
              </w:rPr>
              <w:t xml:space="preserve">БЪЛГАРСКА ФОНДОВА БОРСА </w:t>
            </w:r>
            <w:r>
              <w:rPr>
                <w:sz w:val="20"/>
                <w:szCs w:val="20"/>
              </w:rPr>
              <w:t>–</w:t>
            </w:r>
            <w:r w:rsidR="008E5D46" w:rsidRPr="00B2598E">
              <w:rPr>
                <w:sz w:val="20"/>
                <w:szCs w:val="20"/>
              </w:rPr>
              <w:t xml:space="preserve"> СОФИЯ</w:t>
            </w:r>
            <w:r>
              <w:rPr>
                <w:sz w:val="20"/>
                <w:szCs w:val="20"/>
              </w:rPr>
              <w:t>“</w:t>
            </w:r>
            <w:r w:rsidR="008E5D46" w:rsidRPr="00B2598E">
              <w:rPr>
                <w:sz w:val="20"/>
                <w:szCs w:val="20"/>
              </w:rPr>
              <w:t xml:space="preserve"> АД, </w:t>
            </w:r>
            <w:r w:rsidR="00763D8D">
              <w:rPr>
                <w:sz w:val="20"/>
                <w:szCs w:val="20"/>
              </w:rPr>
              <w:t>гр. София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8E5D46" w:rsidRPr="00B2598E" w:rsidRDefault="008E5D46" w:rsidP="00B2598E">
            <w:pPr>
              <w:jc w:val="center"/>
              <w:rPr>
                <w:sz w:val="20"/>
                <w:szCs w:val="20"/>
              </w:rPr>
            </w:pPr>
            <w:r w:rsidRPr="00B2598E">
              <w:rPr>
                <w:sz w:val="20"/>
                <w:szCs w:val="20"/>
              </w:rPr>
              <w:t>50,05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8E5D46" w:rsidRPr="00B2598E" w:rsidRDefault="008E5D46" w:rsidP="00B2598E">
            <w:pPr>
              <w:jc w:val="center"/>
              <w:rPr>
                <w:sz w:val="20"/>
                <w:szCs w:val="20"/>
              </w:rPr>
            </w:pPr>
            <w:r w:rsidRPr="00B2598E">
              <w:rPr>
                <w:sz w:val="20"/>
                <w:szCs w:val="20"/>
              </w:rPr>
              <w:t>МФ</w:t>
            </w:r>
          </w:p>
        </w:tc>
      </w:tr>
      <w:tr w:rsidR="005355D9" w:rsidRPr="00982E73" w:rsidTr="00EC0AA1">
        <w:trPr>
          <w:trHeight w:val="372"/>
        </w:trPr>
        <w:tc>
          <w:tcPr>
            <w:tcW w:w="419" w:type="dxa"/>
            <w:shd w:val="clear" w:color="auto" w:fill="auto"/>
            <w:vAlign w:val="bottom"/>
          </w:tcPr>
          <w:p w:rsidR="005355D9" w:rsidRPr="00D36798" w:rsidRDefault="00D36798" w:rsidP="00A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5355D9" w:rsidRPr="00B2598E" w:rsidRDefault="00397958" w:rsidP="0039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5355D9" w:rsidRPr="00B2598E">
              <w:rPr>
                <w:sz w:val="20"/>
                <w:szCs w:val="20"/>
              </w:rPr>
              <w:t>ВОЕННО ИЗДАТЕЛСТВО</w:t>
            </w:r>
            <w:r>
              <w:rPr>
                <w:sz w:val="20"/>
                <w:szCs w:val="20"/>
              </w:rPr>
              <w:t>“</w:t>
            </w:r>
            <w:r w:rsidR="005355D9" w:rsidRPr="00B2598E">
              <w:rPr>
                <w:sz w:val="20"/>
                <w:szCs w:val="20"/>
              </w:rPr>
              <w:t xml:space="preserve"> ЕООД, </w:t>
            </w:r>
            <w:r>
              <w:rPr>
                <w:sz w:val="20"/>
                <w:szCs w:val="20"/>
              </w:rPr>
              <w:t>гр. София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5355D9" w:rsidRPr="00B2598E" w:rsidRDefault="005355D9" w:rsidP="00A227CE">
            <w:pPr>
              <w:jc w:val="center"/>
              <w:rPr>
                <w:sz w:val="20"/>
                <w:szCs w:val="20"/>
              </w:rPr>
            </w:pPr>
            <w:r w:rsidRPr="00B259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5355D9" w:rsidRPr="00B2598E" w:rsidRDefault="005355D9" w:rsidP="00A227CE">
            <w:pPr>
              <w:jc w:val="center"/>
              <w:rPr>
                <w:sz w:val="20"/>
                <w:szCs w:val="20"/>
              </w:rPr>
            </w:pPr>
            <w:r w:rsidRPr="00B2598E">
              <w:rPr>
                <w:sz w:val="20"/>
                <w:szCs w:val="20"/>
              </w:rPr>
              <w:t>МО</w:t>
            </w:r>
          </w:p>
        </w:tc>
      </w:tr>
      <w:tr w:rsidR="00D36798" w:rsidRPr="00982E73" w:rsidTr="00EC0AA1">
        <w:trPr>
          <w:trHeight w:val="372"/>
        </w:trPr>
        <w:tc>
          <w:tcPr>
            <w:tcW w:w="419" w:type="dxa"/>
            <w:shd w:val="clear" w:color="auto" w:fill="auto"/>
            <w:vAlign w:val="bottom"/>
          </w:tcPr>
          <w:p w:rsidR="00D36798" w:rsidRPr="005355D9" w:rsidRDefault="00D36798" w:rsidP="0021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D36798" w:rsidRDefault="00D36798" w:rsidP="0021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„ПЛОД И ЗЕЛЕНЧУК“ ЕООД, гр. Габрово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D36798" w:rsidRDefault="00D36798" w:rsidP="0021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D36798" w:rsidRDefault="00D36798" w:rsidP="0021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</w:t>
            </w:r>
          </w:p>
        </w:tc>
      </w:tr>
      <w:tr w:rsidR="00D36798" w:rsidRPr="00982E73" w:rsidTr="00EC0AA1">
        <w:trPr>
          <w:trHeight w:val="372"/>
        </w:trPr>
        <w:tc>
          <w:tcPr>
            <w:tcW w:w="419" w:type="dxa"/>
            <w:shd w:val="clear" w:color="auto" w:fill="auto"/>
            <w:vAlign w:val="bottom"/>
          </w:tcPr>
          <w:p w:rsidR="00D36798" w:rsidRPr="007007F7" w:rsidRDefault="00D36798" w:rsidP="0021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D36798" w:rsidRPr="00B2598E" w:rsidRDefault="00D36798" w:rsidP="0021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B2598E">
              <w:rPr>
                <w:sz w:val="20"/>
                <w:szCs w:val="20"/>
              </w:rPr>
              <w:t>СВОБОДНА БЕЗМИТНА</w:t>
            </w:r>
            <w:r>
              <w:rPr>
                <w:sz w:val="20"/>
                <w:szCs w:val="20"/>
              </w:rPr>
              <w:t xml:space="preserve"> ЗОНА</w:t>
            </w:r>
            <w:r w:rsidRPr="00B2598E">
              <w:rPr>
                <w:sz w:val="20"/>
                <w:szCs w:val="20"/>
              </w:rPr>
              <w:t xml:space="preserve"> – БУРГАС</w:t>
            </w:r>
            <w:r>
              <w:rPr>
                <w:sz w:val="20"/>
                <w:szCs w:val="20"/>
              </w:rPr>
              <w:t>“</w:t>
            </w:r>
            <w:r w:rsidRPr="00B2598E">
              <w:rPr>
                <w:sz w:val="20"/>
                <w:szCs w:val="20"/>
              </w:rPr>
              <w:t xml:space="preserve"> АД</w:t>
            </w:r>
            <w:r>
              <w:rPr>
                <w:sz w:val="20"/>
                <w:szCs w:val="20"/>
              </w:rPr>
              <w:t>, гр. Бургас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D36798" w:rsidRPr="00B2598E" w:rsidRDefault="00D36798" w:rsidP="00217621">
            <w:pPr>
              <w:jc w:val="center"/>
              <w:rPr>
                <w:sz w:val="20"/>
                <w:szCs w:val="20"/>
              </w:rPr>
            </w:pPr>
            <w:r w:rsidRPr="00B2598E">
              <w:rPr>
                <w:sz w:val="20"/>
                <w:szCs w:val="20"/>
              </w:rPr>
              <w:t>19,45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D36798" w:rsidRPr="00B2598E" w:rsidRDefault="00D36798" w:rsidP="00217621">
            <w:pPr>
              <w:jc w:val="center"/>
              <w:rPr>
                <w:sz w:val="20"/>
                <w:szCs w:val="20"/>
              </w:rPr>
            </w:pPr>
            <w:r w:rsidRPr="00B2598E">
              <w:rPr>
                <w:sz w:val="20"/>
                <w:szCs w:val="20"/>
              </w:rPr>
              <w:t>МФ</w:t>
            </w:r>
          </w:p>
        </w:tc>
      </w:tr>
      <w:tr w:rsidR="009157EE" w:rsidRPr="00982E73" w:rsidTr="009157EE">
        <w:trPr>
          <w:trHeight w:val="466"/>
        </w:trPr>
        <w:tc>
          <w:tcPr>
            <w:tcW w:w="419" w:type="dxa"/>
            <w:shd w:val="clear" w:color="auto" w:fill="auto"/>
            <w:vAlign w:val="bottom"/>
          </w:tcPr>
          <w:p w:rsidR="009157EE" w:rsidRDefault="009157EE" w:rsidP="00A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9157EE" w:rsidRPr="007E0DDC" w:rsidRDefault="009157EE" w:rsidP="00A227C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„МОНТАЖИ“ ЕАД, гр. София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157EE" w:rsidRDefault="009157EE" w:rsidP="00A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9157EE" w:rsidRDefault="009157EE" w:rsidP="00A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„ДКК“ЕАД</w:t>
            </w:r>
          </w:p>
        </w:tc>
      </w:tr>
      <w:tr w:rsidR="009157EE" w:rsidRPr="00982E73" w:rsidTr="00D35BD9">
        <w:trPr>
          <w:trHeight w:val="423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7EE" w:rsidRPr="007007F7" w:rsidRDefault="009157EE" w:rsidP="00A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7EE" w:rsidRPr="00B2598E" w:rsidRDefault="009157EE" w:rsidP="00F62793">
            <w:pPr>
              <w:rPr>
                <w:sz w:val="20"/>
                <w:szCs w:val="20"/>
              </w:rPr>
            </w:pPr>
            <w:r w:rsidRPr="00B25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B2598E">
              <w:rPr>
                <w:sz w:val="20"/>
                <w:szCs w:val="20"/>
              </w:rPr>
              <w:t>ОВЧА КУПЕЛ</w:t>
            </w:r>
            <w:r>
              <w:rPr>
                <w:sz w:val="20"/>
                <w:szCs w:val="20"/>
              </w:rPr>
              <w:t>“</w:t>
            </w:r>
            <w:r w:rsidRPr="00B2598E">
              <w:rPr>
                <w:sz w:val="20"/>
                <w:szCs w:val="20"/>
              </w:rPr>
              <w:t xml:space="preserve"> ЕООД, </w:t>
            </w:r>
            <w:r>
              <w:rPr>
                <w:sz w:val="20"/>
                <w:szCs w:val="20"/>
              </w:rPr>
              <w:t>гр. София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7EE" w:rsidRPr="00B2598E" w:rsidRDefault="009157EE" w:rsidP="00A227CE">
            <w:pPr>
              <w:jc w:val="center"/>
              <w:rPr>
                <w:sz w:val="20"/>
                <w:szCs w:val="20"/>
              </w:rPr>
            </w:pPr>
            <w:r w:rsidRPr="00B2598E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7EE" w:rsidRPr="00B2598E" w:rsidRDefault="009157EE" w:rsidP="00A22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„ДКК“ЕАД</w:t>
            </w:r>
          </w:p>
        </w:tc>
      </w:tr>
      <w:tr w:rsidR="009157EE" w:rsidRPr="00982E73" w:rsidTr="00EC0AA1">
        <w:trPr>
          <w:trHeight w:val="374"/>
        </w:trPr>
        <w:tc>
          <w:tcPr>
            <w:tcW w:w="4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7EE" w:rsidRPr="00B2598E" w:rsidRDefault="009157EE" w:rsidP="00B25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7EE" w:rsidRPr="00B2598E" w:rsidRDefault="009157EE" w:rsidP="0039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„БУЛГАРПЛОДЕКСПОРТ“ </w:t>
            </w:r>
            <w:r w:rsidRPr="00B2598E">
              <w:rPr>
                <w:sz w:val="20"/>
                <w:szCs w:val="20"/>
              </w:rPr>
              <w:t xml:space="preserve">ООД, </w:t>
            </w:r>
            <w:r>
              <w:rPr>
                <w:sz w:val="20"/>
                <w:szCs w:val="20"/>
              </w:rPr>
              <w:t>гр. София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7EE" w:rsidRPr="00B2598E" w:rsidRDefault="009157EE" w:rsidP="00B25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99,09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7EE" w:rsidRPr="00B2598E" w:rsidRDefault="009157EE" w:rsidP="00B25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„ДКК“ЕАД</w:t>
            </w:r>
          </w:p>
        </w:tc>
      </w:tr>
      <w:tr w:rsidR="009157EE" w:rsidRPr="00982E73" w:rsidTr="009157EE">
        <w:trPr>
          <w:trHeight w:val="443"/>
        </w:trPr>
        <w:tc>
          <w:tcPr>
            <w:tcW w:w="419" w:type="dxa"/>
            <w:shd w:val="clear" w:color="auto" w:fill="auto"/>
            <w:vAlign w:val="bottom"/>
          </w:tcPr>
          <w:p w:rsidR="009157EE" w:rsidRPr="00B2598E" w:rsidRDefault="009157EE" w:rsidP="0021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89" w:type="dxa"/>
            <w:shd w:val="clear" w:color="auto" w:fill="auto"/>
            <w:vAlign w:val="bottom"/>
          </w:tcPr>
          <w:p w:rsidR="009157EE" w:rsidRPr="00B2598E" w:rsidRDefault="009157EE" w:rsidP="0021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„ИНСТИТУТ ПО МАРКЕТИНГ“ ЕАД, гр. София</w:t>
            </w:r>
          </w:p>
        </w:tc>
        <w:tc>
          <w:tcPr>
            <w:tcW w:w="1181" w:type="dxa"/>
            <w:shd w:val="clear" w:color="auto" w:fill="auto"/>
            <w:vAlign w:val="bottom"/>
          </w:tcPr>
          <w:p w:rsidR="009157EE" w:rsidRPr="00B2598E" w:rsidRDefault="009157EE" w:rsidP="0021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shd w:val="clear" w:color="auto" w:fill="auto"/>
            <w:vAlign w:val="bottom"/>
          </w:tcPr>
          <w:p w:rsidR="009157EE" w:rsidRPr="00B2598E" w:rsidRDefault="009157EE" w:rsidP="002176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„ДКК“ЕАД</w:t>
            </w:r>
          </w:p>
        </w:tc>
      </w:tr>
    </w:tbl>
    <w:p w:rsidR="00913069" w:rsidRDefault="00913069" w:rsidP="003664C4">
      <w:pPr>
        <w:jc w:val="both"/>
        <w:rPr>
          <w:b/>
          <w:color w:val="008080"/>
          <w:sz w:val="28"/>
          <w:szCs w:val="28"/>
        </w:rPr>
      </w:pPr>
    </w:p>
    <w:p w:rsidR="00FB70A4" w:rsidRDefault="00FB70A4" w:rsidP="00C0107A">
      <w:pPr>
        <w:jc w:val="both"/>
        <w:rPr>
          <w:highlight w:val="yellow"/>
        </w:rPr>
      </w:pPr>
    </w:p>
    <w:p w:rsidR="00D62141" w:rsidRPr="00D62141" w:rsidRDefault="00D62141" w:rsidP="00D62141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 w:rsidRPr="00D62141">
        <w:t xml:space="preserve">След  предложение от „ДКК“ ЕАД,  </w:t>
      </w:r>
      <w:r w:rsidR="00FB70A4" w:rsidRPr="00D62141">
        <w:t>Агенцията ще работи за успешната реализация на приватизационни сделки за обекти, п</w:t>
      </w:r>
      <w:r w:rsidR="00A16647" w:rsidRPr="00D62141">
        <w:t xml:space="preserve">редставляващи </w:t>
      </w:r>
      <w:r w:rsidR="00573B29" w:rsidRPr="00D62141">
        <w:rPr>
          <w:lang w:val="x-none"/>
        </w:rPr>
        <w:t xml:space="preserve">дялове и акции, собственост на еднолични търговски дружества с държавно участие в капитала </w:t>
      </w:r>
      <w:r w:rsidR="00573B29" w:rsidRPr="00D62141">
        <w:t>на „ДКК“ ЕАД</w:t>
      </w:r>
      <w:r w:rsidRPr="00D62141">
        <w:t xml:space="preserve">. </w:t>
      </w:r>
      <w:r w:rsidRPr="00D62141">
        <w:rPr>
          <w:lang w:val="x-none"/>
        </w:rPr>
        <w:t xml:space="preserve">Паричните постъпления от приватизацията </w:t>
      </w:r>
      <w:r w:rsidRPr="00D62141">
        <w:t>на такива обекти</w:t>
      </w:r>
      <w:r w:rsidRPr="00D62141">
        <w:rPr>
          <w:lang w:val="x-none"/>
        </w:rPr>
        <w:t xml:space="preserve"> или част от тях могат да бъдат преведени по сметка на </w:t>
      </w:r>
      <w:r w:rsidRPr="00D62141">
        <w:t>„ДКК“ ЕАД</w:t>
      </w:r>
      <w:r w:rsidR="009157EE">
        <w:t xml:space="preserve">, </w:t>
      </w:r>
      <w:r w:rsidRPr="00D62141">
        <w:rPr>
          <w:lang w:val="x-none"/>
        </w:rPr>
        <w:t>след съгласуване с органа, който упражнява правата на е</w:t>
      </w:r>
      <w:r w:rsidR="009157EE">
        <w:rPr>
          <w:lang w:val="x-none"/>
        </w:rPr>
        <w:t>дноличен собственик на капитала</w:t>
      </w:r>
      <w:r w:rsidR="009157EE">
        <w:t>,</w:t>
      </w:r>
      <w:r w:rsidRPr="00D62141">
        <w:rPr>
          <w:lang w:val="x-none"/>
        </w:rPr>
        <w:t xml:space="preserve"> и </w:t>
      </w:r>
      <w:r w:rsidR="009157EE">
        <w:t xml:space="preserve">да </w:t>
      </w:r>
      <w:proofErr w:type="spellStart"/>
      <w:r w:rsidR="009157EE">
        <w:rPr>
          <w:lang w:val="x-none"/>
        </w:rPr>
        <w:t>оста</w:t>
      </w:r>
      <w:r w:rsidR="009157EE">
        <w:t>н</w:t>
      </w:r>
      <w:proofErr w:type="spellEnd"/>
      <w:r w:rsidRPr="00D62141">
        <w:rPr>
          <w:lang w:val="x-none"/>
        </w:rPr>
        <w:t>ат собственост на дружеството.</w:t>
      </w:r>
    </w:p>
    <w:p w:rsidR="009C2EFD" w:rsidRDefault="009C2EFD" w:rsidP="003664C4">
      <w:pPr>
        <w:jc w:val="both"/>
        <w:rPr>
          <w:b/>
          <w:color w:val="008080"/>
          <w:sz w:val="28"/>
          <w:szCs w:val="28"/>
        </w:rPr>
      </w:pPr>
    </w:p>
    <w:p w:rsidR="009C2EFD" w:rsidRDefault="009C2EFD" w:rsidP="003664C4">
      <w:pPr>
        <w:jc w:val="both"/>
        <w:rPr>
          <w:b/>
          <w:color w:val="008080"/>
          <w:sz w:val="28"/>
          <w:szCs w:val="28"/>
        </w:rPr>
      </w:pPr>
    </w:p>
    <w:p w:rsidR="004B64BF" w:rsidRPr="00277344" w:rsidRDefault="004B64BF" w:rsidP="003664C4">
      <w:pPr>
        <w:jc w:val="both"/>
        <w:rPr>
          <w:b/>
          <w:color w:val="008080"/>
          <w:sz w:val="28"/>
          <w:szCs w:val="28"/>
        </w:rPr>
      </w:pPr>
      <w:r w:rsidRPr="00277344">
        <w:rPr>
          <w:b/>
          <w:color w:val="008080"/>
          <w:sz w:val="28"/>
          <w:szCs w:val="28"/>
        </w:rPr>
        <w:t>2. Дружества с извършен следприватизационен контрол</w:t>
      </w:r>
    </w:p>
    <w:p w:rsidR="004B64BF" w:rsidRPr="0092525A" w:rsidRDefault="004B64BF" w:rsidP="004B64BF">
      <w:pPr>
        <w:tabs>
          <w:tab w:val="left" w:pos="374"/>
        </w:tabs>
        <w:ind w:firstLine="561"/>
        <w:jc w:val="both"/>
        <w:rPr>
          <w:color w:val="000000"/>
        </w:rPr>
      </w:pPr>
    </w:p>
    <w:p w:rsidR="004B64BF" w:rsidRPr="00594943" w:rsidRDefault="004B64BF" w:rsidP="0080764E">
      <w:pPr>
        <w:tabs>
          <w:tab w:val="left" w:pos="374"/>
        </w:tabs>
        <w:jc w:val="both"/>
      </w:pPr>
      <w:r w:rsidRPr="00594943">
        <w:t>Осъществяване на ефективен, навременен и ефикасен контрол на задължения, залегнали в приватизационни договори, както и реализиране на своевременни действия по правно осигуряване на следприватизационния контрол и процесуалната защита в исковото и изпълнително производство, са основни цели на АПСК в дейността по следприватизационния контрол.</w:t>
      </w:r>
    </w:p>
    <w:p w:rsidR="004A07C8" w:rsidRPr="00594943" w:rsidRDefault="004A07C8" w:rsidP="0080764E">
      <w:pPr>
        <w:jc w:val="both"/>
      </w:pPr>
    </w:p>
    <w:p w:rsidR="0051519F" w:rsidRDefault="004B64BF" w:rsidP="004B64BF">
      <w:pPr>
        <w:jc w:val="both"/>
      </w:pPr>
      <w:r w:rsidRPr="00074BCB">
        <w:lastRenderedPageBreak/>
        <w:t>АПСК планира през 201</w:t>
      </w:r>
      <w:r w:rsidR="007D4D13" w:rsidRPr="00074BCB">
        <w:t>7</w:t>
      </w:r>
      <w:r w:rsidRPr="00074BCB">
        <w:t xml:space="preserve"> г.</w:t>
      </w:r>
      <w:r w:rsidRPr="007D4D13">
        <w:rPr>
          <w:color w:val="FF0000"/>
        </w:rPr>
        <w:t xml:space="preserve"> </w:t>
      </w:r>
      <w:r w:rsidRPr="002538EC">
        <w:rPr>
          <w:b/>
          <w:color w:val="008080"/>
        </w:rPr>
        <w:t>да осъществи следприватизационен контрол</w:t>
      </w:r>
      <w:r w:rsidRPr="00594943">
        <w:t xml:space="preserve"> </w:t>
      </w:r>
      <w:r w:rsidRPr="00074BCB">
        <w:t>върху изпълнението на задълженията, поети с приватизационните договори за продажбата на</w:t>
      </w:r>
      <w:r w:rsidRPr="00074BCB">
        <w:rPr>
          <w:b/>
        </w:rPr>
        <w:t xml:space="preserve"> </w:t>
      </w:r>
      <w:r w:rsidR="007D4D13">
        <w:rPr>
          <w:b/>
          <w:color w:val="008080"/>
        </w:rPr>
        <w:t>3</w:t>
      </w:r>
      <w:r w:rsidRPr="002538EC">
        <w:rPr>
          <w:b/>
          <w:color w:val="008080"/>
        </w:rPr>
        <w:t>0 дружества</w:t>
      </w:r>
      <w:r w:rsidRPr="00277344">
        <w:rPr>
          <w:color w:val="008080"/>
        </w:rPr>
        <w:t>.</w:t>
      </w:r>
      <w:r w:rsidR="006D0BB9">
        <w:rPr>
          <w:color w:val="008080"/>
        </w:rPr>
        <w:t xml:space="preserve"> </w:t>
      </w:r>
      <w:r w:rsidR="006D0BB9" w:rsidRPr="00074BCB">
        <w:t>Очаква с</w:t>
      </w:r>
      <w:r w:rsidR="002A1BEB" w:rsidRPr="00074BCB">
        <w:t>е</w:t>
      </w:r>
      <w:r w:rsidR="006D0BB9" w:rsidRPr="00074BCB">
        <w:t xml:space="preserve"> </w:t>
      </w:r>
      <w:r w:rsidR="00251FD9" w:rsidRPr="00074BCB">
        <w:t xml:space="preserve">да бъдат </w:t>
      </w:r>
      <w:r w:rsidR="006D0BB9" w:rsidRPr="002538EC">
        <w:rPr>
          <w:b/>
          <w:color w:val="008080"/>
        </w:rPr>
        <w:t>изпълн</w:t>
      </w:r>
      <w:r w:rsidR="00251FD9">
        <w:rPr>
          <w:b/>
          <w:color w:val="008080"/>
        </w:rPr>
        <w:t>ени</w:t>
      </w:r>
      <w:r w:rsidR="006D0BB9" w:rsidRPr="002538EC">
        <w:rPr>
          <w:b/>
          <w:color w:val="008080"/>
        </w:rPr>
        <w:t xml:space="preserve"> следприватизационните задължения</w:t>
      </w:r>
      <w:r w:rsidR="002A1BEB">
        <w:t xml:space="preserve"> </w:t>
      </w:r>
      <w:r w:rsidR="00251FD9" w:rsidRPr="00074BCB">
        <w:t xml:space="preserve">при около </w:t>
      </w:r>
      <w:r w:rsidR="007D4D13">
        <w:rPr>
          <w:b/>
          <w:color w:val="008080"/>
        </w:rPr>
        <w:t>25</w:t>
      </w:r>
      <w:r w:rsidR="002A1BEB" w:rsidRPr="002538EC">
        <w:rPr>
          <w:b/>
          <w:color w:val="008080"/>
        </w:rPr>
        <w:t xml:space="preserve"> обекти</w:t>
      </w:r>
      <w:r w:rsidR="006D0BB9" w:rsidRPr="00594943">
        <w:t>.</w:t>
      </w:r>
    </w:p>
    <w:p w:rsidR="00AF60E8" w:rsidRPr="00AF60E8" w:rsidRDefault="00AF60E8" w:rsidP="004B64BF">
      <w:pPr>
        <w:jc w:val="both"/>
      </w:pPr>
    </w:p>
    <w:p w:rsidR="0051519F" w:rsidRPr="00300879" w:rsidRDefault="0051519F" w:rsidP="004B64BF">
      <w:pPr>
        <w:jc w:val="both"/>
        <w:rPr>
          <w:color w:val="008080"/>
        </w:rPr>
      </w:pPr>
    </w:p>
    <w:p w:rsidR="004B64BF" w:rsidRPr="00277344" w:rsidRDefault="004B64BF" w:rsidP="003664C4">
      <w:pPr>
        <w:jc w:val="both"/>
        <w:rPr>
          <w:b/>
          <w:color w:val="008080"/>
          <w:sz w:val="28"/>
          <w:szCs w:val="28"/>
        </w:rPr>
      </w:pPr>
      <w:r w:rsidRPr="00277344">
        <w:rPr>
          <w:b/>
          <w:color w:val="008080"/>
          <w:sz w:val="28"/>
          <w:szCs w:val="28"/>
        </w:rPr>
        <w:t xml:space="preserve">3. </w:t>
      </w:r>
      <w:r w:rsidR="00050C7D">
        <w:rPr>
          <w:b/>
          <w:color w:val="008080"/>
          <w:sz w:val="28"/>
          <w:szCs w:val="28"/>
        </w:rPr>
        <w:t xml:space="preserve">Постъпления от </w:t>
      </w:r>
      <w:r w:rsidRPr="00277344">
        <w:rPr>
          <w:b/>
          <w:color w:val="008080"/>
          <w:sz w:val="28"/>
          <w:szCs w:val="28"/>
        </w:rPr>
        <w:t xml:space="preserve">приватизационни продажби и </w:t>
      </w:r>
      <w:r w:rsidR="00050C7D">
        <w:rPr>
          <w:b/>
          <w:color w:val="008080"/>
          <w:sz w:val="28"/>
          <w:szCs w:val="28"/>
        </w:rPr>
        <w:t>от дейностите</w:t>
      </w:r>
      <w:r w:rsidRPr="00277344">
        <w:rPr>
          <w:b/>
          <w:color w:val="008080"/>
          <w:sz w:val="28"/>
          <w:szCs w:val="28"/>
        </w:rPr>
        <w:t xml:space="preserve"> по следприватизационен контрол</w:t>
      </w:r>
    </w:p>
    <w:p w:rsidR="00994411" w:rsidRDefault="00994411" w:rsidP="004B0E16">
      <w:pPr>
        <w:jc w:val="both"/>
        <w:rPr>
          <w:color w:val="FF0000"/>
        </w:rPr>
      </w:pPr>
    </w:p>
    <w:p w:rsidR="004B0E16" w:rsidRPr="00074BCB" w:rsidRDefault="004B0E16" w:rsidP="004B0E16">
      <w:pPr>
        <w:jc w:val="both"/>
      </w:pPr>
      <w:r w:rsidRPr="00074BCB">
        <w:t xml:space="preserve">Общо от дейностите по приватизация и следприватизационен контрол през 2017 г. се очакват  приходи в размер на  </w:t>
      </w:r>
      <w:r w:rsidR="00994411">
        <w:rPr>
          <w:b/>
          <w:color w:val="008080"/>
          <w:sz w:val="28"/>
          <w:szCs w:val="28"/>
        </w:rPr>
        <w:t>1</w:t>
      </w:r>
      <w:r w:rsidR="00C0107A">
        <w:rPr>
          <w:b/>
          <w:color w:val="008080"/>
          <w:sz w:val="28"/>
          <w:szCs w:val="28"/>
        </w:rPr>
        <w:t>4</w:t>
      </w:r>
      <w:r>
        <w:rPr>
          <w:b/>
          <w:color w:val="008080"/>
          <w:sz w:val="28"/>
          <w:szCs w:val="28"/>
        </w:rPr>
        <w:t xml:space="preserve"> </w:t>
      </w:r>
      <w:r w:rsidR="00C0107A">
        <w:rPr>
          <w:b/>
          <w:color w:val="008080"/>
          <w:sz w:val="28"/>
          <w:szCs w:val="28"/>
        </w:rPr>
        <w:t>5</w:t>
      </w:r>
      <w:r w:rsidR="00FB70A4">
        <w:rPr>
          <w:b/>
          <w:color w:val="008080"/>
          <w:sz w:val="28"/>
          <w:szCs w:val="28"/>
        </w:rPr>
        <w:t>1</w:t>
      </w:r>
      <w:r w:rsidR="00C0107A">
        <w:rPr>
          <w:b/>
          <w:color w:val="008080"/>
          <w:sz w:val="28"/>
          <w:szCs w:val="28"/>
        </w:rPr>
        <w:t>7</w:t>
      </w:r>
      <w:r w:rsidRPr="00690347">
        <w:rPr>
          <w:b/>
          <w:color w:val="008080"/>
          <w:sz w:val="28"/>
          <w:szCs w:val="28"/>
        </w:rPr>
        <w:t xml:space="preserve"> 000 </w:t>
      </w:r>
      <w:proofErr w:type="spellStart"/>
      <w:r w:rsidRPr="00690347">
        <w:rPr>
          <w:b/>
          <w:color w:val="008080"/>
          <w:sz w:val="28"/>
          <w:szCs w:val="28"/>
        </w:rPr>
        <w:t>лв</w:t>
      </w:r>
      <w:proofErr w:type="spellEnd"/>
      <w:r w:rsidRPr="00690347">
        <w:rPr>
          <w:color w:val="31849B"/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  <w:r w:rsidRPr="00074BCB">
        <w:t>Прогнозата за очакваните постъпления през 2017 г. се базира върху данни, които са ни известни към настоящия момент и биха могли да претърпят промяна през периода, като е възможно да се постигне увеличение или намаление на планираните приходи.</w:t>
      </w:r>
    </w:p>
    <w:p w:rsidR="004B0E16" w:rsidRDefault="004B0E16" w:rsidP="004B0E16">
      <w:pPr>
        <w:jc w:val="both"/>
        <w:rPr>
          <w:color w:val="000000"/>
          <w:u w:val="single"/>
        </w:rPr>
      </w:pPr>
    </w:p>
    <w:p w:rsidR="00C034CF" w:rsidRDefault="00994411" w:rsidP="00994411">
      <w:pPr>
        <w:jc w:val="both"/>
      </w:pPr>
      <w:r w:rsidRPr="00074BCB">
        <w:t xml:space="preserve">Договорените плащания по приватизационни продажби се предвижда да бъдат в размер приблизително на  </w:t>
      </w:r>
      <w:r w:rsidR="00CA7E92" w:rsidRPr="00A43E7D">
        <w:rPr>
          <w:b/>
          <w:color w:val="008080"/>
          <w:sz w:val="28"/>
          <w:szCs w:val="28"/>
        </w:rPr>
        <w:t>1</w:t>
      </w:r>
      <w:r w:rsidR="00FB70A4">
        <w:rPr>
          <w:b/>
          <w:color w:val="008080"/>
          <w:sz w:val="28"/>
          <w:szCs w:val="28"/>
        </w:rPr>
        <w:t>3</w:t>
      </w:r>
      <w:r w:rsidR="00CA7E92" w:rsidRPr="00A43E7D">
        <w:rPr>
          <w:b/>
          <w:color w:val="008080"/>
          <w:sz w:val="28"/>
          <w:szCs w:val="28"/>
        </w:rPr>
        <w:t xml:space="preserve"> </w:t>
      </w:r>
      <w:r w:rsidR="009157EE">
        <w:rPr>
          <w:b/>
          <w:color w:val="008080"/>
          <w:sz w:val="28"/>
          <w:szCs w:val="28"/>
        </w:rPr>
        <w:t>017</w:t>
      </w:r>
      <w:r w:rsidR="00CA7E92" w:rsidRPr="00A43E7D">
        <w:rPr>
          <w:b/>
          <w:color w:val="008080"/>
          <w:sz w:val="28"/>
          <w:szCs w:val="28"/>
        </w:rPr>
        <w:t xml:space="preserve"> 000 лв</w:t>
      </w:r>
      <w:r w:rsidR="00CA7E92" w:rsidRPr="00A43E7D">
        <w:rPr>
          <w:color w:val="008080"/>
        </w:rPr>
        <w:t>.</w:t>
      </w:r>
      <w:r w:rsidR="00CA7E92">
        <w:rPr>
          <w:color w:val="008080"/>
        </w:rPr>
        <w:t xml:space="preserve"> </w:t>
      </w:r>
      <w:r w:rsidR="00CA7E92" w:rsidRPr="00AD60D7">
        <w:t xml:space="preserve"> </w:t>
      </w:r>
      <w:r w:rsidRPr="00074BCB">
        <w:t xml:space="preserve">Постигането на планираните плащания в парични средства ще зависи от </w:t>
      </w:r>
      <w:proofErr w:type="spellStart"/>
      <w:r w:rsidRPr="00074BCB">
        <w:t>реализиранe</w:t>
      </w:r>
      <w:proofErr w:type="spellEnd"/>
      <w:r w:rsidRPr="00074BCB">
        <w:t xml:space="preserve"> на успешни приватизационни сделки за пакети акции/дялове на дружества от по-значимите проекти</w:t>
      </w:r>
    </w:p>
    <w:p w:rsidR="00C0107A" w:rsidRPr="00994411" w:rsidRDefault="00C0107A" w:rsidP="00994411">
      <w:pPr>
        <w:jc w:val="both"/>
        <w:rPr>
          <w:color w:val="000000"/>
          <w:u w:val="single"/>
        </w:rPr>
      </w:pPr>
    </w:p>
    <w:p w:rsidR="00994411" w:rsidRPr="00074BCB" w:rsidRDefault="009C4416" w:rsidP="00994411">
      <w:pPr>
        <w:jc w:val="both"/>
      </w:pPr>
      <w:r w:rsidRPr="00074BCB">
        <w:t>Възможни са</w:t>
      </w:r>
      <w:r w:rsidR="00994411" w:rsidRPr="00074BCB">
        <w:t xml:space="preserve"> </w:t>
      </w:r>
      <w:r w:rsidRPr="00074BCB">
        <w:t>постъпления</w:t>
      </w:r>
      <w:r w:rsidR="00994411" w:rsidRPr="00074BCB">
        <w:t xml:space="preserve"> в непарични платежни средства от продажби на пакети акции/дялове от капитала на търговски дружества, за които се допуска плащане с компенсаторни инструменти.  </w:t>
      </w:r>
    </w:p>
    <w:p w:rsidR="00CF0A7B" w:rsidRDefault="00CF0A7B" w:rsidP="00CA7E92">
      <w:pPr>
        <w:tabs>
          <w:tab w:val="left" w:pos="374"/>
        </w:tabs>
        <w:jc w:val="both"/>
        <w:rPr>
          <w:color w:val="FF0000"/>
        </w:rPr>
      </w:pPr>
    </w:p>
    <w:p w:rsidR="004B64BF" w:rsidRPr="00074BCB" w:rsidRDefault="00C95C0B" w:rsidP="00510432">
      <w:pPr>
        <w:tabs>
          <w:tab w:val="left" w:pos="374"/>
        </w:tabs>
        <w:jc w:val="both"/>
      </w:pPr>
      <w:r w:rsidRPr="00074BCB">
        <w:t>Очакваните п</w:t>
      </w:r>
      <w:r w:rsidR="004B64BF" w:rsidRPr="00074BCB">
        <w:t>остъпления от следприватизационен конт</w:t>
      </w:r>
      <w:r w:rsidR="00FE0368" w:rsidRPr="00074BCB">
        <w:t xml:space="preserve">рол </w:t>
      </w:r>
      <w:r w:rsidR="00E77D5A" w:rsidRPr="00074BCB">
        <w:t>са планирани</w:t>
      </w:r>
      <w:r w:rsidR="00FD4268" w:rsidRPr="00074BCB">
        <w:t xml:space="preserve"> в</w:t>
      </w:r>
      <w:r w:rsidR="004B64BF" w:rsidRPr="00074BCB">
        <w:t xml:space="preserve"> размер </w:t>
      </w:r>
      <w:r w:rsidR="00FE0368" w:rsidRPr="00074BCB">
        <w:t>на</w:t>
      </w:r>
      <w:r w:rsidR="00145A57" w:rsidRPr="00074BCB">
        <w:t xml:space="preserve"> не по-малко от</w:t>
      </w:r>
      <w:r w:rsidR="004B64BF" w:rsidRPr="00074BCB">
        <w:t xml:space="preserve"> </w:t>
      </w:r>
      <w:r w:rsidR="00050C7D" w:rsidRPr="00A43E7D">
        <w:rPr>
          <w:b/>
          <w:color w:val="008080"/>
          <w:sz w:val="28"/>
          <w:szCs w:val="28"/>
        </w:rPr>
        <w:t>1 500</w:t>
      </w:r>
      <w:r w:rsidR="00E77D5A" w:rsidRPr="00A43E7D">
        <w:rPr>
          <w:b/>
          <w:color w:val="008080"/>
          <w:sz w:val="28"/>
          <w:szCs w:val="28"/>
        </w:rPr>
        <w:t xml:space="preserve"> 000</w:t>
      </w:r>
      <w:r w:rsidR="00526552" w:rsidRPr="00A43E7D">
        <w:rPr>
          <w:b/>
          <w:color w:val="008080"/>
          <w:sz w:val="28"/>
          <w:szCs w:val="28"/>
        </w:rPr>
        <w:t xml:space="preserve"> лв</w:t>
      </w:r>
      <w:r w:rsidR="00526552" w:rsidRPr="00A43E7D">
        <w:rPr>
          <w:color w:val="008080"/>
        </w:rPr>
        <w:t>.</w:t>
      </w:r>
      <w:r w:rsidR="004B64BF" w:rsidRPr="00A43E7D">
        <w:rPr>
          <w:color w:val="008080"/>
        </w:rPr>
        <w:t>,</w:t>
      </w:r>
      <w:r w:rsidR="004B64BF" w:rsidRPr="00AD60D7">
        <w:t xml:space="preserve"> </w:t>
      </w:r>
      <w:r w:rsidR="004B64BF" w:rsidRPr="00074BCB">
        <w:t>в т.ч. приходи от издадени в по</w:t>
      </w:r>
      <w:r w:rsidR="00E81FBB" w:rsidRPr="00074BCB">
        <w:t xml:space="preserve">лза на АПСК изпълнителни листа </w:t>
      </w:r>
      <w:r w:rsidR="004B64BF" w:rsidRPr="00074BCB">
        <w:t xml:space="preserve">и </w:t>
      </w:r>
      <w:r w:rsidR="006C0C2A" w:rsidRPr="00074BCB">
        <w:t xml:space="preserve">постъпления по </w:t>
      </w:r>
      <w:r w:rsidR="004B64BF" w:rsidRPr="00074BCB">
        <w:t>спогодби за разсрочване на вземанията</w:t>
      </w:r>
      <w:r w:rsidR="006C0C2A" w:rsidRPr="00074BCB">
        <w:t xml:space="preserve"> </w:t>
      </w:r>
      <w:r w:rsidR="00A54461" w:rsidRPr="00074BCB">
        <w:t xml:space="preserve">по </w:t>
      </w:r>
      <w:r w:rsidR="002910D6" w:rsidRPr="00074BCB">
        <w:t>д</w:t>
      </w:r>
      <w:r w:rsidR="00A54461" w:rsidRPr="00074BCB">
        <w:t xml:space="preserve">оговори за приватизационна продажба на дружества, спрямо които Агенцията има вземания за неустойки, присъдени с влязло в сила съдебно решение и предприетите действия от страна на АПСК.  </w:t>
      </w:r>
    </w:p>
    <w:p w:rsidR="00433886" w:rsidRDefault="00433886" w:rsidP="004B64BF">
      <w:pPr>
        <w:rPr>
          <w:b/>
          <w:i/>
          <w:color w:val="000000"/>
        </w:rPr>
      </w:pPr>
    </w:p>
    <w:p w:rsidR="005C09F6" w:rsidRPr="0092525A" w:rsidRDefault="005C09F6" w:rsidP="004B64BF">
      <w:pPr>
        <w:rPr>
          <w:b/>
          <w:i/>
          <w:color w:val="000000"/>
        </w:rPr>
      </w:pPr>
    </w:p>
    <w:p w:rsidR="004B64BF" w:rsidRPr="00277344" w:rsidRDefault="004B64BF" w:rsidP="003664C4">
      <w:pPr>
        <w:rPr>
          <w:b/>
          <w:color w:val="008080"/>
          <w:sz w:val="28"/>
          <w:szCs w:val="28"/>
        </w:rPr>
      </w:pPr>
      <w:r w:rsidRPr="00277344">
        <w:rPr>
          <w:b/>
          <w:color w:val="008080"/>
          <w:sz w:val="28"/>
          <w:szCs w:val="28"/>
        </w:rPr>
        <w:t>4. Разходи за дейностите по приватизация и следприватизационен контрол</w:t>
      </w:r>
    </w:p>
    <w:p w:rsidR="00433886" w:rsidRPr="00EC0AA1" w:rsidRDefault="004B64BF" w:rsidP="00170FE4">
      <w:pPr>
        <w:pStyle w:val="m"/>
        <w:jc w:val="both"/>
      </w:pPr>
      <w:r w:rsidRPr="00C4505F">
        <w:t xml:space="preserve">Съгласно чл. 9 от </w:t>
      </w:r>
      <w:r w:rsidR="000A63C8" w:rsidRPr="00C4505F">
        <w:t>ЗПСК</w:t>
      </w:r>
      <w:r w:rsidRPr="00C4505F">
        <w:t xml:space="preserve"> (</w:t>
      </w:r>
      <w:bookmarkStart w:id="1" w:name="to_paragraph_id8011309"/>
      <w:bookmarkEnd w:id="1"/>
      <w:proofErr w:type="spellStart"/>
      <w:r w:rsidRPr="00C4505F">
        <w:t>Обн</w:t>
      </w:r>
      <w:proofErr w:type="spellEnd"/>
      <w:r w:rsidRPr="00C4505F">
        <w:t xml:space="preserve">., ДВ, бр. 15 от 2013 г., в сила от </w:t>
      </w:r>
      <w:r w:rsidR="001767E6" w:rsidRPr="00C4505F">
        <w:t>0</w:t>
      </w:r>
      <w:r w:rsidRPr="00C4505F">
        <w:t>1.</w:t>
      </w:r>
      <w:proofErr w:type="spellStart"/>
      <w:r w:rsidRPr="00C4505F">
        <w:t>01</w:t>
      </w:r>
      <w:proofErr w:type="spellEnd"/>
      <w:r w:rsidRPr="00C4505F">
        <w:t>.2014 г.)</w:t>
      </w:r>
      <w:r w:rsidR="000A63C8" w:rsidRPr="00C4505F">
        <w:t>,</w:t>
      </w:r>
      <w:r w:rsidRPr="00C4505F">
        <w:t xml:space="preserve"> разходите за приватизация и следприватизационен контрол се извършват чрез бюджета на АПСК.</w:t>
      </w:r>
      <w:r w:rsidR="004B443D" w:rsidRPr="00C4505F">
        <w:t xml:space="preserve"> У</w:t>
      </w:r>
      <w:r w:rsidRPr="00C4505F">
        <w:t>твърден</w:t>
      </w:r>
      <w:r w:rsidR="004B443D" w:rsidRPr="00C4505F">
        <w:t>ият</w:t>
      </w:r>
      <w:r w:rsidRPr="00C4505F">
        <w:t xml:space="preserve"> от министъра на икономиката</w:t>
      </w:r>
      <w:r w:rsidR="004B443D" w:rsidRPr="00C4505F">
        <w:t xml:space="preserve"> бюджет за 201</w:t>
      </w:r>
      <w:r w:rsidR="004B0E16" w:rsidRPr="00C4505F">
        <w:t>7</w:t>
      </w:r>
      <w:r w:rsidR="004B443D" w:rsidRPr="00C4505F">
        <w:t xml:space="preserve"> г.</w:t>
      </w:r>
      <w:r w:rsidRPr="00C4505F">
        <w:t xml:space="preserve"> </w:t>
      </w:r>
      <w:r w:rsidR="00AA23B1" w:rsidRPr="00C4505F">
        <w:t xml:space="preserve">на Агенцията, </w:t>
      </w:r>
      <w:r w:rsidRPr="00C4505F">
        <w:t xml:space="preserve">е в размер на </w:t>
      </w:r>
      <w:r w:rsidR="00E452CD">
        <w:rPr>
          <w:b/>
          <w:color w:val="008080"/>
          <w:sz w:val="28"/>
          <w:szCs w:val="28"/>
          <w:lang w:val="en-US"/>
        </w:rPr>
        <w:t>3 </w:t>
      </w:r>
      <w:r w:rsidR="004B0E16">
        <w:rPr>
          <w:b/>
          <w:color w:val="008080"/>
          <w:sz w:val="28"/>
          <w:szCs w:val="28"/>
        </w:rPr>
        <w:t>303</w:t>
      </w:r>
      <w:r w:rsidR="00E452CD">
        <w:rPr>
          <w:b/>
          <w:color w:val="008080"/>
          <w:sz w:val="28"/>
          <w:szCs w:val="28"/>
          <w:lang w:val="en-US"/>
        </w:rPr>
        <w:t xml:space="preserve"> </w:t>
      </w:r>
      <w:r w:rsidR="004B0E16">
        <w:rPr>
          <w:b/>
          <w:color w:val="008080"/>
          <w:sz w:val="28"/>
          <w:szCs w:val="28"/>
        </w:rPr>
        <w:t>244</w:t>
      </w:r>
      <w:r w:rsidR="00487689" w:rsidRPr="005F64C4">
        <w:rPr>
          <w:b/>
          <w:color w:val="008080"/>
          <w:sz w:val="28"/>
          <w:szCs w:val="28"/>
        </w:rPr>
        <w:t xml:space="preserve"> лева</w:t>
      </w:r>
      <w:r w:rsidRPr="00487689">
        <w:t xml:space="preserve">, </w:t>
      </w:r>
      <w:r w:rsidRPr="00C4505F">
        <w:t xml:space="preserve">в т. ч. планирани разходи за персонал в размер на  </w:t>
      </w:r>
      <w:r w:rsidR="00E452CD" w:rsidRPr="00C4505F">
        <w:rPr>
          <w:lang w:val="en-US"/>
        </w:rPr>
        <w:t>1 9</w:t>
      </w:r>
      <w:r w:rsidR="004B0E16" w:rsidRPr="00C4505F">
        <w:t>97</w:t>
      </w:r>
      <w:r w:rsidR="00E452CD" w:rsidRPr="00C4505F">
        <w:rPr>
          <w:lang w:val="en-US"/>
        </w:rPr>
        <w:t xml:space="preserve"> </w:t>
      </w:r>
      <w:r w:rsidR="004B0E16" w:rsidRPr="00C4505F">
        <w:t>044</w:t>
      </w:r>
      <w:r w:rsidRPr="00C4505F">
        <w:t xml:space="preserve"> лева. </w:t>
      </w:r>
      <w:r w:rsidR="00B628EF" w:rsidRPr="00C4505F">
        <w:rPr>
          <w:lang w:val="en-US"/>
        </w:rPr>
        <w:t>(</w:t>
      </w:r>
      <w:proofErr w:type="gramStart"/>
      <w:r w:rsidR="00AA23B1" w:rsidRPr="00C4505F">
        <w:t>писмо</w:t>
      </w:r>
      <w:proofErr w:type="gramEnd"/>
      <w:r w:rsidR="00AA23B1" w:rsidRPr="00C4505F">
        <w:t xml:space="preserve"> с</w:t>
      </w:r>
      <w:r w:rsidR="00B628EF" w:rsidRPr="00C4505F">
        <w:t xml:space="preserve"> изх. № 91-00-</w:t>
      </w:r>
      <w:r w:rsidR="004B0E16" w:rsidRPr="00C4505F">
        <w:t>11</w:t>
      </w:r>
      <w:r w:rsidR="00B628EF" w:rsidRPr="00C4505F">
        <w:t>/</w:t>
      </w:r>
      <w:r w:rsidR="004B0E16" w:rsidRPr="00C4505F">
        <w:t>1</w:t>
      </w:r>
      <w:r w:rsidR="00B628EF" w:rsidRPr="00C4505F">
        <w:t>8.01.201</w:t>
      </w:r>
      <w:r w:rsidR="004B0E16" w:rsidRPr="00C4505F">
        <w:t>7</w:t>
      </w:r>
      <w:r w:rsidR="00B628EF" w:rsidRPr="00C4505F">
        <w:t xml:space="preserve"> г. на Министерство на икономиката).  </w:t>
      </w:r>
      <w:r w:rsidRPr="00C4505F">
        <w:t xml:space="preserve">В рамките на около </w:t>
      </w:r>
      <w:r w:rsidR="00996883" w:rsidRPr="00C4505F">
        <w:rPr>
          <w:lang w:val="en-US"/>
        </w:rPr>
        <w:t>39</w:t>
      </w:r>
      <w:r w:rsidRPr="00C4505F">
        <w:t xml:space="preserve"> % от бюджетните разходи</w:t>
      </w:r>
      <w:r w:rsidR="004B443D" w:rsidRPr="00C4505F">
        <w:t xml:space="preserve"> или</w:t>
      </w:r>
      <w:r w:rsidR="00F53F61" w:rsidRPr="00C4505F">
        <w:t xml:space="preserve"> </w:t>
      </w:r>
      <w:r w:rsidR="00E452CD">
        <w:rPr>
          <w:b/>
          <w:color w:val="008080"/>
          <w:sz w:val="28"/>
          <w:szCs w:val="28"/>
          <w:lang w:val="en-US"/>
        </w:rPr>
        <w:t>1 306 200</w:t>
      </w:r>
      <w:r w:rsidR="00487689">
        <w:rPr>
          <w:b/>
          <w:color w:val="008080"/>
          <w:sz w:val="28"/>
          <w:szCs w:val="28"/>
        </w:rPr>
        <w:t xml:space="preserve"> лева</w:t>
      </w:r>
      <w:r w:rsidR="00996883">
        <w:t xml:space="preserve"> </w:t>
      </w:r>
      <w:r w:rsidRPr="009E28D5">
        <w:t>са предвидените ср</w:t>
      </w:r>
      <w:r w:rsidR="004B0E16" w:rsidRPr="009E28D5">
        <w:t xml:space="preserve">едства за материално-техническо </w:t>
      </w:r>
      <w:r w:rsidRPr="009E28D5">
        <w:t>осигуряване на дейностите по приватизация и следприватизационен контрол, включително за изготвяне на правни анализи, приватизационни оценки и информационни меморандуми, експертни становища от външни фирми, процесуално представителство,  разхо</w:t>
      </w:r>
      <w:r w:rsidR="005C09F6">
        <w:t>ди за държавни и съдебни такси</w:t>
      </w:r>
      <w:r w:rsidRPr="009E28D5">
        <w:t>, разходи по изпълнителни производства за събиране на вземанията на АПСК от частни и държавни съдебни изпълнители</w:t>
      </w:r>
      <w:r w:rsidR="005C09F6">
        <w:t xml:space="preserve"> и др</w:t>
      </w:r>
      <w:r w:rsidRPr="009E28D5">
        <w:t>. В тази сума са включени и разходи за публикуване на решения и обяви на Агенцията съгласно</w:t>
      </w:r>
      <w:r w:rsidR="005C09F6">
        <w:t xml:space="preserve"> ЗПСК, за маркетингови дейности</w:t>
      </w:r>
      <w:r w:rsidRPr="009E28D5">
        <w:t>.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183"/>
        <w:gridCol w:w="2303"/>
        <w:gridCol w:w="3194"/>
        <w:gridCol w:w="1534"/>
      </w:tblGrid>
      <w:tr w:rsidR="004B64BF" w:rsidRPr="00B2598E" w:rsidTr="00830CF2">
        <w:trPr>
          <w:trHeight w:val="411"/>
        </w:trPr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lastRenderedPageBreak/>
              <w:t>ПОКАЗАТЕЛИ ПО ПЛАН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ДЕЙНОСТИ</w:t>
            </w:r>
          </w:p>
        </w:tc>
        <w:tc>
          <w:tcPr>
            <w:tcW w:w="1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EC0AA1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ОБЩО ПРЕЗ 201</w:t>
            </w:r>
            <w:r w:rsidR="00EC0AA1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B2598E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4B64BF" w:rsidRPr="00B2598E" w:rsidTr="00830CF2">
        <w:trPr>
          <w:trHeight w:val="290"/>
        </w:trPr>
        <w:tc>
          <w:tcPr>
            <w:tcW w:w="2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BF" w:rsidRPr="00B2598E" w:rsidRDefault="004B64BF" w:rsidP="00B2598E">
            <w:pPr>
              <w:pStyle w:val="NormalWeb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ПРИВАТИЗАЦИЯ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4B64BF" w:rsidRPr="00B2598E" w:rsidRDefault="004B64BF" w:rsidP="00B2598E">
            <w:pPr>
              <w:pStyle w:val="NormalWeb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СЛЕДПРИВАТИЗАЦИОНЕН КОНТРОЛ</w:t>
            </w:r>
          </w:p>
        </w:tc>
        <w:tc>
          <w:tcPr>
            <w:tcW w:w="1534" w:type="dxa"/>
            <w:vMerge/>
            <w:tcBorders>
              <w:top w:val="single" w:sz="6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64BF" w:rsidRPr="00B2598E" w:rsidRDefault="004B64BF" w:rsidP="00B2598E">
            <w:pPr>
              <w:pStyle w:val="NormalWeb"/>
              <w:jc w:val="both"/>
              <w:rPr>
                <w:b/>
                <w:bCs/>
                <w:color w:val="000000"/>
              </w:rPr>
            </w:pPr>
          </w:p>
        </w:tc>
      </w:tr>
      <w:tr w:rsidR="004B64BF" w:rsidRPr="004773EE" w:rsidTr="00830CF2">
        <w:trPr>
          <w:trHeight w:val="1061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2D35" w:rsidRPr="00872D35" w:rsidRDefault="004B64BF" w:rsidP="004B64BF">
            <w:pPr>
              <w:pStyle w:val="NormalWeb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ОЧАКВАНИ ПОСТЪПЛЕНИЯ в държавния бюджет (лева)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D54BD2" w:rsidRDefault="00AD2997" w:rsidP="008033F5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  <w:r w:rsidRPr="00D54BD2">
              <w:rPr>
                <w:b/>
                <w:bCs/>
                <w:sz w:val="20"/>
                <w:szCs w:val="20"/>
              </w:rPr>
              <w:t>1</w:t>
            </w:r>
            <w:r w:rsidR="008033F5">
              <w:rPr>
                <w:b/>
                <w:bCs/>
                <w:sz w:val="20"/>
                <w:szCs w:val="20"/>
              </w:rPr>
              <w:t>3</w:t>
            </w:r>
            <w:r w:rsidRPr="00D54BD2">
              <w:rPr>
                <w:b/>
                <w:bCs/>
                <w:sz w:val="20"/>
                <w:szCs w:val="20"/>
              </w:rPr>
              <w:t xml:space="preserve"> </w:t>
            </w:r>
            <w:r w:rsidR="008033F5">
              <w:rPr>
                <w:b/>
                <w:bCs/>
                <w:sz w:val="20"/>
                <w:szCs w:val="20"/>
              </w:rPr>
              <w:t>017</w:t>
            </w:r>
            <w:r w:rsidR="00170FE4" w:rsidRPr="00D54BD2">
              <w:rPr>
                <w:b/>
                <w:bCs/>
                <w:sz w:val="20"/>
                <w:szCs w:val="20"/>
              </w:rPr>
              <w:t xml:space="preserve"> </w:t>
            </w:r>
            <w:r w:rsidR="004B64BF" w:rsidRPr="00D54BD2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D54BD2" w:rsidRDefault="004B0E16" w:rsidP="004B0E16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  <w:r w:rsidRPr="00D54BD2">
              <w:rPr>
                <w:b/>
                <w:bCs/>
                <w:sz w:val="20"/>
                <w:szCs w:val="20"/>
              </w:rPr>
              <w:t>1</w:t>
            </w:r>
            <w:r w:rsidR="00170FE4" w:rsidRPr="00D54BD2">
              <w:rPr>
                <w:b/>
                <w:bCs/>
                <w:sz w:val="20"/>
                <w:szCs w:val="20"/>
              </w:rPr>
              <w:t xml:space="preserve"> 5</w:t>
            </w:r>
            <w:r w:rsidRPr="00D54BD2">
              <w:rPr>
                <w:b/>
                <w:bCs/>
                <w:sz w:val="20"/>
                <w:szCs w:val="20"/>
              </w:rPr>
              <w:t>0</w:t>
            </w:r>
            <w:r w:rsidR="00170FE4" w:rsidRPr="00D54BD2">
              <w:rPr>
                <w:b/>
                <w:bCs/>
                <w:sz w:val="20"/>
                <w:szCs w:val="20"/>
              </w:rPr>
              <w:t>0</w:t>
            </w:r>
            <w:r w:rsidR="004B64BF" w:rsidRPr="00D54BD2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BF" w:rsidRPr="00D54BD2" w:rsidRDefault="00AD2997" w:rsidP="008033F5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  <w:r w:rsidRPr="00D54BD2">
              <w:rPr>
                <w:b/>
                <w:bCs/>
                <w:sz w:val="20"/>
                <w:szCs w:val="20"/>
              </w:rPr>
              <w:t>1</w:t>
            </w:r>
            <w:r w:rsidR="008033F5">
              <w:rPr>
                <w:b/>
                <w:bCs/>
                <w:sz w:val="20"/>
                <w:szCs w:val="20"/>
              </w:rPr>
              <w:t>4</w:t>
            </w:r>
            <w:r w:rsidR="004B0E16" w:rsidRPr="00D54BD2">
              <w:rPr>
                <w:b/>
                <w:bCs/>
                <w:sz w:val="20"/>
                <w:szCs w:val="20"/>
              </w:rPr>
              <w:t> </w:t>
            </w:r>
            <w:r w:rsidR="009157EE">
              <w:rPr>
                <w:b/>
                <w:bCs/>
                <w:sz w:val="20"/>
                <w:szCs w:val="20"/>
              </w:rPr>
              <w:t>51</w:t>
            </w:r>
            <w:r w:rsidR="008033F5">
              <w:rPr>
                <w:b/>
                <w:bCs/>
                <w:sz w:val="20"/>
                <w:szCs w:val="20"/>
              </w:rPr>
              <w:t>7</w:t>
            </w:r>
            <w:r w:rsidR="004B0E16" w:rsidRPr="00D54BD2">
              <w:rPr>
                <w:b/>
                <w:bCs/>
                <w:sz w:val="20"/>
                <w:szCs w:val="20"/>
              </w:rPr>
              <w:t xml:space="preserve"> </w:t>
            </w:r>
            <w:r w:rsidR="002662A7" w:rsidRPr="00D54BD2">
              <w:rPr>
                <w:b/>
                <w:bCs/>
                <w:sz w:val="20"/>
                <w:szCs w:val="20"/>
              </w:rPr>
              <w:t xml:space="preserve"> </w:t>
            </w:r>
            <w:r w:rsidR="004B64BF" w:rsidRPr="00D54BD2">
              <w:rPr>
                <w:b/>
                <w:bCs/>
                <w:sz w:val="20"/>
                <w:szCs w:val="20"/>
              </w:rPr>
              <w:t>000</w:t>
            </w:r>
          </w:p>
        </w:tc>
      </w:tr>
      <w:tr w:rsidR="004B64BF" w:rsidRPr="00B2598E" w:rsidTr="00830CF2">
        <w:trPr>
          <w:trHeight w:val="505"/>
        </w:trPr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BF" w:rsidRPr="00B2598E" w:rsidRDefault="004B64BF" w:rsidP="004B64BF">
            <w:pPr>
              <w:pStyle w:val="NormalWeb"/>
              <w:rPr>
                <w:b/>
                <w:bCs/>
                <w:color w:val="000000"/>
                <w:sz w:val="20"/>
                <w:szCs w:val="20"/>
              </w:rPr>
            </w:pPr>
            <w:r w:rsidRPr="00B2598E">
              <w:rPr>
                <w:b/>
                <w:bCs/>
                <w:color w:val="000000"/>
                <w:sz w:val="20"/>
                <w:szCs w:val="20"/>
              </w:rPr>
              <w:t>РАЗХОДИ   (лева)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D54BD2" w:rsidRDefault="004B64BF" w:rsidP="00B2598E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64BF" w:rsidRPr="00D54BD2" w:rsidRDefault="004B64BF" w:rsidP="00B2598E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B64BF" w:rsidRPr="00D54BD2" w:rsidRDefault="006A4359" w:rsidP="00B2598E">
            <w:pPr>
              <w:pStyle w:val="NormalWeb"/>
              <w:jc w:val="right"/>
              <w:rPr>
                <w:b/>
                <w:bCs/>
                <w:sz w:val="20"/>
                <w:szCs w:val="20"/>
              </w:rPr>
            </w:pPr>
            <w:r w:rsidRPr="00D54BD2">
              <w:rPr>
                <w:b/>
                <w:bCs/>
                <w:sz w:val="20"/>
                <w:szCs w:val="20"/>
              </w:rPr>
              <w:t>1 306 200</w:t>
            </w:r>
          </w:p>
        </w:tc>
      </w:tr>
    </w:tbl>
    <w:p w:rsidR="00261BFE" w:rsidRDefault="00261BFE" w:rsidP="003664C4">
      <w:pPr>
        <w:pStyle w:val="NormalWeb"/>
        <w:jc w:val="both"/>
        <w:rPr>
          <w:b/>
          <w:bCs/>
          <w:color w:val="008080"/>
        </w:rPr>
      </w:pPr>
    </w:p>
    <w:p w:rsidR="004B64BF" w:rsidRDefault="004B64BF" w:rsidP="003664C4">
      <w:pPr>
        <w:pStyle w:val="NormalWeb"/>
        <w:jc w:val="both"/>
        <w:rPr>
          <w:b/>
          <w:bCs/>
          <w:color w:val="008080"/>
          <w:lang w:val="ru-RU"/>
        </w:rPr>
      </w:pPr>
      <w:r w:rsidRPr="00277344">
        <w:rPr>
          <w:b/>
          <w:bCs/>
          <w:color w:val="008080"/>
        </w:rPr>
        <w:t xml:space="preserve">НЕОБХОДИМИ ДЕЙСТВИЯ </w:t>
      </w:r>
    </w:p>
    <w:p w:rsidR="004B64BF" w:rsidRDefault="004B64BF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  <w:r>
        <w:rPr>
          <w:b/>
          <w:bCs/>
          <w:i/>
          <w:color w:val="008080"/>
        </w:rPr>
        <w:t>Подготвителна работа по приватизационните проекти</w:t>
      </w:r>
    </w:p>
    <w:p w:rsidR="005C09F6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Pr="00344C9E" w:rsidRDefault="004B64BF" w:rsidP="004B64BF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374"/>
        <w:jc w:val="both"/>
        <w:rPr>
          <w:b/>
          <w:bCs/>
          <w:i/>
          <w:color w:val="008080"/>
        </w:rPr>
      </w:pPr>
      <w:r w:rsidRPr="0092525A">
        <w:t>Набиране и/или актуализиране на правната и финансовата информация за подлежащите на приватизация обекти;</w:t>
      </w:r>
    </w:p>
    <w:p w:rsidR="004B64BF" w:rsidRPr="0092525A" w:rsidRDefault="004B64BF" w:rsidP="004B64BF">
      <w:pPr>
        <w:numPr>
          <w:ilvl w:val="1"/>
          <w:numId w:val="7"/>
        </w:numPr>
        <w:ind w:left="0" w:firstLine="374"/>
        <w:jc w:val="both"/>
        <w:rPr>
          <w:color w:val="000000"/>
        </w:rPr>
      </w:pPr>
      <w:r w:rsidRPr="0092525A">
        <w:rPr>
          <w:color w:val="000000"/>
        </w:rPr>
        <w:t>Определяне на възможностите за продажба на държавния дял в капитала на дружествата;</w:t>
      </w:r>
    </w:p>
    <w:p w:rsidR="004B64BF" w:rsidRPr="0092525A" w:rsidRDefault="004B64BF" w:rsidP="004B64BF">
      <w:pPr>
        <w:numPr>
          <w:ilvl w:val="1"/>
          <w:numId w:val="7"/>
        </w:numPr>
        <w:ind w:left="0" w:firstLine="374"/>
        <w:jc w:val="both"/>
        <w:rPr>
          <w:color w:val="000000"/>
        </w:rPr>
      </w:pPr>
      <w:r w:rsidRPr="0092525A">
        <w:rPr>
          <w:color w:val="000000"/>
        </w:rPr>
        <w:t>Разрешаване на проблеми, зависещи от действията на други държавни ведомства и институции;</w:t>
      </w:r>
    </w:p>
    <w:p w:rsidR="004B64BF" w:rsidRPr="0092525A" w:rsidRDefault="004B64BF" w:rsidP="004B64BF">
      <w:pPr>
        <w:numPr>
          <w:ilvl w:val="1"/>
          <w:numId w:val="7"/>
        </w:numPr>
        <w:ind w:left="0" w:firstLine="374"/>
        <w:jc w:val="both"/>
        <w:rPr>
          <w:color w:val="000000"/>
        </w:rPr>
      </w:pPr>
      <w:r w:rsidRPr="0092525A">
        <w:rPr>
          <w:color w:val="000000"/>
        </w:rPr>
        <w:t xml:space="preserve">Съгласуване по целесъобразност на приватизационните процедури на обектите от ресурса на АПСК с </w:t>
      </w:r>
      <w:r>
        <w:rPr>
          <w:color w:val="000000"/>
        </w:rPr>
        <w:t>ресорните министри</w:t>
      </w:r>
      <w:r w:rsidRPr="0092525A">
        <w:rPr>
          <w:color w:val="000000"/>
        </w:rPr>
        <w:t xml:space="preserve">; </w:t>
      </w:r>
    </w:p>
    <w:p w:rsidR="004B64BF" w:rsidRPr="0092525A" w:rsidRDefault="004B64BF" w:rsidP="004B64BF">
      <w:pPr>
        <w:numPr>
          <w:ilvl w:val="1"/>
          <w:numId w:val="7"/>
        </w:numPr>
        <w:ind w:left="0" w:firstLine="374"/>
        <w:jc w:val="both"/>
        <w:rPr>
          <w:color w:val="000000"/>
        </w:rPr>
      </w:pPr>
      <w:r w:rsidRPr="0092525A">
        <w:rPr>
          <w:color w:val="000000"/>
        </w:rPr>
        <w:t xml:space="preserve">Съгласуване на приватизационните процедури за имоти частна-държавна собственост с Министерство на регионалното развитие </w:t>
      </w:r>
      <w:r w:rsidR="00F0255C">
        <w:rPr>
          <w:color w:val="000000"/>
        </w:rPr>
        <w:t xml:space="preserve">и благоустройството </w:t>
      </w:r>
      <w:r w:rsidRPr="0092525A">
        <w:rPr>
          <w:color w:val="000000"/>
        </w:rPr>
        <w:t>и Министерство на финансите;</w:t>
      </w:r>
    </w:p>
    <w:p w:rsidR="004B64BF" w:rsidRDefault="004B64BF" w:rsidP="004B64BF">
      <w:pPr>
        <w:numPr>
          <w:ilvl w:val="1"/>
          <w:numId w:val="7"/>
        </w:numPr>
        <w:ind w:left="0" w:firstLine="374"/>
        <w:jc w:val="both"/>
        <w:rPr>
          <w:color w:val="000000"/>
        </w:rPr>
      </w:pPr>
      <w:r w:rsidRPr="0092525A">
        <w:rPr>
          <w:color w:val="000000"/>
        </w:rPr>
        <w:t>Възлагане на външни изпълнители изготвянето или актуализацията на анализ</w:t>
      </w:r>
      <w:r>
        <w:rPr>
          <w:color w:val="000000"/>
        </w:rPr>
        <w:t>и</w:t>
      </w:r>
      <w:r w:rsidRPr="0092525A">
        <w:rPr>
          <w:color w:val="000000"/>
        </w:rPr>
        <w:t xml:space="preserve"> на пра</w:t>
      </w:r>
      <w:r>
        <w:rPr>
          <w:color w:val="000000"/>
        </w:rPr>
        <w:t>вното състояние, приватизационни оценки</w:t>
      </w:r>
      <w:r w:rsidRPr="0092525A">
        <w:rPr>
          <w:color w:val="000000"/>
        </w:rPr>
        <w:t>, информа</w:t>
      </w:r>
      <w:r>
        <w:rPr>
          <w:color w:val="000000"/>
        </w:rPr>
        <w:t>цио</w:t>
      </w:r>
      <w:r w:rsidRPr="0092525A">
        <w:rPr>
          <w:color w:val="000000"/>
        </w:rPr>
        <w:t>н</w:t>
      </w:r>
      <w:r>
        <w:rPr>
          <w:color w:val="000000"/>
        </w:rPr>
        <w:t>ни</w:t>
      </w:r>
      <w:r w:rsidRPr="0092525A">
        <w:rPr>
          <w:color w:val="000000"/>
        </w:rPr>
        <w:t xml:space="preserve"> меморандум</w:t>
      </w:r>
      <w:r>
        <w:rPr>
          <w:color w:val="000000"/>
        </w:rPr>
        <w:t>и</w:t>
      </w:r>
      <w:r w:rsidRPr="0092525A">
        <w:rPr>
          <w:color w:val="000000"/>
        </w:rPr>
        <w:t xml:space="preserve"> за съответн</w:t>
      </w:r>
      <w:r>
        <w:rPr>
          <w:color w:val="000000"/>
        </w:rPr>
        <w:t>ите</w:t>
      </w:r>
      <w:r w:rsidRPr="0092525A">
        <w:rPr>
          <w:color w:val="000000"/>
        </w:rPr>
        <w:t xml:space="preserve"> обект</w:t>
      </w:r>
      <w:r>
        <w:rPr>
          <w:color w:val="000000"/>
        </w:rPr>
        <w:t>и;</w:t>
      </w:r>
      <w:r w:rsidRPr="0092525A">
        <w:rPr>
          <w:color w:val="000000"/>
        </w:rPr>
        <w:t xml:space="preserve"> </w:t>
      </w:r>
    </w:p>
    <w:p w:rsidR="004B64BF" w:rsidRPr="0092525A" w:rsidRDefault="004B64BF" w:rsidP="004B64BF">
      <w:pPr>
        <w:numPr>
          <w:ilvl w:val="1"/>
          <w:numId w:val="7"/>
        </w:numPr>
        <w:ind w:left="0" w:firstLine="374"/>
        <w:jc w:val="both"/>
        <w:rPr>
          <w:color w:val="000000"/>
        </w:rPr>
      </w:pPr>
      <w:r>
        <w:rPr>
          <w:color w:val="000000"/>
        </w:rPr>
        <w:t>Осъществяване на приватизационни проекти;</w:t>
      </w:r>
    </w:p>
    <w:p w:rsidR="004B64BF" w:rsidRDefault="004B64BF" w:rsidP="004B64BF">
      <w:pPr>
        <w:numPr>
          <w:ilvl w:val="1"/>
          <w:numId w:val="7"/>
        </w:numPr>
        <w:ind w:left="0" w:firstLine="374"/>
        <w:jc w:val="both"/>
        <w:rPr>
          <w:color w:val="000000"/>
        </w:rPr>
      </w:pPr>
      <w:r w:rsidRPr="0092525A">
        <w:rPr>
          <w:color w:val="000000"/>
        </w:rPr>
        <w:t xml:space="preserve">Определяне на предварителни квалификационни изисквания към участниците в </w:t>
      </w:r>
      <w:r>
        <w:rPr>
          <w:color w:val="000000"/>
        </w:rPr>
        <w:t>конкретни приватизационни процедури</w:t>
      </w:r>
      <w:r w:rsidRPr="0092525A">
        <w:rPr>
          <w:color w:val="000000"/>
        </w:rPr>
        <w:t>;</w:t>
      </w:r>
    </w:p>
    <w:p w:rsidR="004B64BF" w:rsidRPr="00713ACF" w:rsidRDefault="004B64BF" w:rsidP="004B64BF">
      <w:pPr>
        <w:numPr>
          <w:ilvl w:val="1"/>
          <w:numId w:val="7"/>
        </w:numPr>
        <w:ind w:left="0" w:firstLine="374"/>
        <w:jc w:val="both"/>
        <w:rPr>
          <w:color w:val="000000"/>
        </w:rPr>
      </w:pPr>
      <w:r>
        <w:t>Определяне на метод за приватизация.</w:t>
      </w:r>
    </w:p>
    <w:p w:rsidR="004B64BF" w:rsidRPr="0092525A" w:rsidRDefault="004B64BF" w:rsidP="004B64BF">
      <w:pPr>
        <w:pStyle w:val="NormalWeb"/>
        <w:spacing w:before="0" w:beforeAutospacing="0" w:after="0" w:afterAutospacing="0"/>
        <w:ind w:firstLine="374"/>
        <w:jc w:val="both"/>
        <w:rPr>
          <w:b/>
          <w:bCs/>
          <w:color w:val="000000"/>
        </w:rPr>
      </w:pPr>
    </w:p>
    <w:p w:rsidR="004B64BF" w:rsidRDefault="004B64BF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  <w:r w:rsidRPr="00277344">
        <w:rPr>
          <w:b/>
          <w:bCs/>
          <w:i/>
          <w:color w:val="008080"/>
        </w:rPr>
        <w:t xml:space="preserve">Маркетинг и връзки с обществеността </w:t>
      </w:r>
    </w:p>
    <w:p w:rsidR="005C09F6" w:rsidRPr="00277344" w:rsidRDefault="005C09F6" w:rsidP="003664C4">
      <w:pPr>
        <w:pStyle w:val="NormalWeb"/>
        <w:spacing w:before="0" w:beforeAutospacing="0" w:after="0" w:afterAutospacing="0"/>
        <w:jc w:val="both"/>
        <w:rPr>
          <w:b/>
          <w:bCs/>
          <w:i/>
          <w:color w:val="008080"/>
        </w:rPr>
      </w:pPr>
    </w:p>
    <w:p w:rsidR="004B64BF" w:rsidRPr="0092525A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  <w:rPr>
          <w:color w:val="000000"/>
        </w:rPr>
      </w:pPr>
      <w:r w:rsidRPr="0092525A">
        <w:rPr>
          <w:color w:val="000000"/>
        </w:rPr>
        <w:t xml:space="preserve">Отразяване чрез интернет-страницата на информация за хода на приватизационните процедури, както и на кратки описания на фактическото правно и финансово състояние на съответните </w:t>
      </w:r>
      <w:r>
        <w:rPr>
          <w:color w:val="000000"/>
        </w:rPr>
        <w:t>обекти</w:t>
      </w:r>
      <w:r w:rsidRPr="0092525A">
        <w:rPr>
          <w:color w:val="000000"/>
        </w:rPr>
        <w:t xml:space="preserve">, подготвяни за продажба; </w:t>
      </w:r>
    </w:p>
    <w:p w:rsidR="004B64BF" w:rsidRPr="0092525A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  <w:rPr>
          <w:color w:val="000000"/>
        </w:rPr>
      </w:pPr>
      <w:r w:rsidRPr="0092525A">
        <w:rPr>
          <w:color w:val="000000"/>
        </w:rPr>
        <w:t>Публикуване на кратки съобщения в средствата за масова информация;</w:t>
      </w:r>
    </w:p>
    <w:p w:rsidR="004B64BF" w:rsidRPr="0092525A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  <w:rPr>
          <w:color w:val="000000"/>
        </w:rPr>
      </w:pPr>
      <w:r w:rsidRPr="0092525A">
        <w:rPr>
          <w:color w:val="000000"/>
        </w:rPr>
        <w:t>Публикуване в пресата на определените от ЗПСК като задължителни съобщения при обявяване за приватизация на държавно участие в капитала на новообразувани дружества, както и при приемане на решени</w:t>
      </w:r>
      <w:r>
        <w:rPr>
          <w:color w:val="000000"/>
        </w:rPr>
        <w:t>я</w:t>
      </w:r>
      <w:r w:rsidRPr="0092525A">
        <w:rPr>
          <w:color w:val="000000"/>
        </w:rPr>
        <w:t xml:space="preserve"> за метод за приватизация</w:t>
      </w:r>
      <w:r>
        <w:rPr>
          <w:color w:val="000000"/>
        </w:rPr>
        <w:t>та им</w:t>
      </w:r>
      <w:r w:rsidRPr="0092525A">
        <w:rPr>
          <w:color w:val="000000"/>
        </w:rPr>
        <w:t>;</w:t>
      </w:r>
    </w:p>
    <w:p w:rsidR="004B64BF" w:rsidRPr="007E747F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  <w:rPr>
          <w:color w:val="000000"/>
        </w:rPr>
      </w:pPr>
      <w:r w:rsidRPr="007E747F">
        <w:rPr>
          <w:color w:val="000000"/>
        </w:rPr>
        <w:t>Оповестяв</w:t>
      </w:r>
      <w:r w:rsidR="005F64C4">
        <w:rPr>
          <w:color w:val="000000"/>
        </w:rPr>
        <w:t>ане чрез интернет-страницата на</w:t>
      </w:r>
      <w:r w:rsidR="005F64C4">
        <w:rPr>
          <w:color w:val="000000"/>
          <w:lang w:val="en-US"/>
        </w:rPr>
        <w:t xml:space="preserve"> </w:t>
      </w:r>
      <w:r w:rsidRPr="007E747F">
        <w:rPr>
          <w:color w:val="000000"/>
        </w:rPr>
        <w:t xml:space="preserve">“БФБ-София”АД на информационните меморандуми и проспектите на търгуваните дружества </w:t>
      </w:r>
      <w:r>
        <w:rPr>
          <w:color w:val="000000"/>
        </w:rPr>
        <w:t xml:space="preserve">/ </w:t>
      </w:r>
      <w:r w:rsidRPr="007E747F">
        <w:rPr>
          <w:color w:val="000000"/>
        </w:rPr>
        <w:t xml:space="preserve">пакети акции/дялове от дружества при провеждането на неприсъствените публични търгове и централизираните публични търгове; </w:t>
      </w:r>
    </w:p>
    <w:p w:rsidR="004B64BF" w:rsidRPr="0092525A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  <w:rPr>
          <w:color w:val="000000"/>
        </w:rPr>
      </w:pPr>
      <w:r w:rsidRPr="0092525A">
        <w:rPr>
          <w:color w:val="000000"/>
        </w:rPr>
        <w:t xml:space="preserve">Публикуване на рекламни съобщения за големи и приоритетни приватизационни проекти в чуждестранни издания; </w:t>
      </w:r>
    </w:p>
    <w:p w:rsidR="004B64BF" w:rsidRPr="0092525A" w:rsidRDefault="004B64BF" w:rsidP="004B64BF">
      <w:pPr>
        <w:numPr>
          <w:ilvl w:val="0"/>
          <w:numId w:val="7"/>
        </w:numPr>
        <w:tabs>
          <w:tab w:val="num" w:pos="935"/>
        </w:tabs>
        <w:ind w:left="0" w:firstLine="374"/>
        <w:jc w:val="both"/>
        <w:rPr>
          <w:color w:val="000000"/>
        </w:rPr>
      </w:pPr>
      <w:r w:rsidRPr="0092525A">
        <w:rPr>
          <w:color w:val="000000"/>
        </w:rPr>
        <w:t>Провеждане на интервюта, брифинги и пресконференции;</w:t>
      </w:r>
    </w:p>
    <w:p w:rsidR="004B64BF" w:rsidRPr="004A7E14" w:rsidRDefault="004B64BF" w:rsidP="004A7E14">
      <w:pPr>
        <w:numPr>
          <w:ilvl w:val="0"/>
          <w:numId w:val="7"/>
        </w:numPr>
        <w:tabs>
          <w:tab w:val="num" w:pos="935"/>
        </w:tabs>
        <w:ind w:left="0" w:firstLine="374"/>
        <w:jc w:val="both"/>
        <w:rPr>
          <w:color w:val="000000"/>
        </w:rPr>
      </w:pPr>
      <w:r w:rsidRPr="0092525A">
        <w:rPr>
          <w:color w:val="000000"/>
        </w:rPr>
        <w:lastRenderedPageBreak/>
        <w:t xml:space="preserve">Участие на представители на </w:t>
      </w:r>
      <w:r>
        <w:rPr>
          <w:color w:val="000000"/>
        </w:rPr>
        <w:t>АПСК</w:t>
      </w:r>
      <w:r w:rsidRPr="0092525A">
        <w:rPr>
          <w:color w:val="000000"/>
        </w:rPr>
        <w:t xml:space="preserve"> във форуми и мероприятия, организирани от други институции или организации.</w:t>
      </w:r>
    </w:p>
    <w:p w:rsidR="00872D35" w:rsidRDefault="00872D35" w:rsidP="003664C4">
      <w:pPr>
        <w:shd w:val="clear" w:color="auto" w:fill="FFFFFF"/>
        <w:rPr>
          <w:b/>
          <w:bCs/>
          <w:i/>
          <w:color w:val="008080"/>
          <w:lang w:val="en-US"/>
        </w:rPr>
      </w:pPr>
    </w:p>
    <w:p w:rsidR="004B64BF" w:rsidRDefault="004B64BF" w:rsidP="003664C4">
      <w:pPr>
        <w:shd w:val="clear" w:color="auto" w:fill="FFFFFF"/>
        <w:rPr>
          <w:b/>
          <w:bCs/>
          <w:i/>
          <w:color w:val="008080"/>
        </w:rPr>
      </w:pPr>
      <w:r w:rsidRPr="00277344">
        <w:rPr>
          <w:b/>
          <w:bCs/>
          <w:i/>
          <w:color w:val="008080"/>
        </w:rPr>
        <w:t>Контрол на приватизационните договори</w:t>
      </w:r>
    </w:p>
    <w:p w:rsidR="005C09F6" w:rsidRPr="00277344" w:rsidRDefault="005C09F6" w:rsidP="003664C4">
      <w:pPr>
        <w:shd w:val="clear" w:color="auto" w:fill="FFFFFF"/>
        <w:rPr>
          <w:b/>
          <w:bCs/>
          <w:i/>
          <w:color w:val="008080"/>
        </w:rPr>
      </w:pPr>
    </w:p>
    <w:p w:rsidR="004B64BF" w:rsidRPr="00D54BD2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D54BD2">
        <w:t>Изготвяне на План за осъществяване на проверки на място в приватизираните дружества с цел повишаване коректността при отчитане на изпълнението, респ. неизпълнението на поетите с приватизационните договори задължения;</w:t>
      </w:r>
    </w:p>
    <w:p w:rsidR="004B64BF" w:rsidRPr="00D54BD2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D54BD2">
        <w:t>Изготвяне на уведомления до купувачите по приватизационните договори за предоставяне на всички отчетни документи, необходими за доказване на изпълнението на поетите с договорите задължения за 201</w:t>
      </w:r>
      <w:r w:rsidR="00BA6B29" w:rsidRPr="00D54BD2">
        <w:t>6</w:t>
      </w:r>
      <w:r w:rsidRPr="00D54BD2">
        <w:t xml:space="preserve"> г.;</w:t>
      </w:r>
    </w:p>
    <w:p w:rsidR="004B64BF" w:rsidRPr="00D54BD2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D54BD2">
        <w:rPr>
          <w:spacing w:val="-1"/>
        </w:rPr>
        <w:t>Анализ на получените отчети от купувачите и приключване с констатации на следприватизационния контрол по изпълн</w:t>
      </w:r>
      <w:r w:rsidR="00AE326F" w:rsidRPr="00D54BD2">
        <w:rPr>
          <w:spacing w:val="-1"/>
        </w:rPr>
        <w:t>ение на изискуемите задължения</w:t>
      </w:r>
      <w:r w:rsidRPr="00D54BD2">
        <w:rPr>
          <w:spacing w:val="-1"/>
        </w:rPr>
        <w:t xml:space="preserve"> </w:t>
      </w:r>
      <w:r w:rsidRPr="00D54BD2">
        <w:t>по приватизационните договори за 201</w:t>
      </w:r>
      <w:r w:rsidR="00AE326F" w:rsidRPr="00D54BD2">
        <w:t>5</w:t>
      </w:r>
      <w:r w:rsidRPr="00D54BD2">
        <w:t xml:space="preserve"> г.;</w:t>
      </w:r>
    </w:p>
    <w:p w:rsidR="004B64BF" w:rsidRPr="00D54BD2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D54BD2">
        <w:t xml:space="preserve">Събиране на писмена информация от компетентните държавни институции, доказваща изпълнението/неизпълнението на задълженията от страна на купувачите по </w:t>
      </w:r>
      <w:r w:rsidRPr="00D54BD2">
        <w:rPr>
          <w:spacing w:val="-1"/>
        </w:rPr>
        <w:t xml:space="preserve">приватизационните договори - НОИ, ЦРОЗ, Централен </w:t>
      </w:r>
      <w:proofErr w:type="spellStart"/>
      <w:r w:rsidRPr="00D54BD2">
        <w:rPr>
          <w:spacing w:val="-1"/>
        </w:rPr>
        <w:t>депозитар</w:t>
      </w:r>
      <w:proofErr w:type="spellEnd"/>
      <w:r w:rsidRPr="00D54BD2">
        <w:rPr>
          <w:spacing w:val="-1"/>
        </w:rPr>
        <w:t xml:space="preserve">, Агенция по вписванията, </w:t>
      </w:r>
      <w:r w:rsidR="00D32FDB" w:rsidRPr="00D54BD2">
        <w:t xml:space="preserve">РИОСВ, ДА “ДР и ВВЗ”, </w:t>
      </w:r>
      <w:r w:rsidRPr="00D54BD2">
        <w:t>КЕВР и др.;</w:t>
      </w:r>
    </w:p>
    <w:p w:rsidR="00393C28" w:rsidRPr="00D54BD2" w:rsidRDefault="00393C28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D54BD2">
        <w:rPr>
          <w:spacing w:val="-1"/>
        </w:rPr>
        <w:t xml:space="preserve">Приключване с констатации на следприватизационния контрол по изпълнение на изискуемите задължения </w:t>
      </w:r>
      <w:r w:rsidRPr="00D54BD2">
        <w:t>по приватизационните договори;</w:t>
      </w:r>
    </w:p>
    <w:p w:rsidR="004B64BF" w:rsidRPr="00D54BD2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D54BD2">
        <w:t>Предложения за начисляване на неустойки;</w:t>
      </w:r>
    </w:p>
    <w:p w:rsidR="004B64BF" w:rsidRPr="00D54BD2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D54BD2">
        <w:rPr>
          <w:bCs/>
          <w:iCs/>
          <w:spacing w:val="-1"/>
        </w:rPr>
        <w:t>При постъпило искане и след извършена проверка, издаване на удостоверение по чл.</w:t>
      </w:r>
      <w:r w:rsidR="00FB5DDA" w:rsidRPr="00D54BD2">
        <w:rPr>
          <w:bCs/>
          <w:iCs/>
          <w:spacing w:val="-1"/>
        </w:rPr>
        <w:t xml:space="preserve"> </w:t>
      </w:r>
      <w:r w:rsidRPr="00D54BD2">
        <w:rPr>
          <w:bCs/>
          <w:iCs/>
          <w:spacing w:val="-1"/>
        </w:rPr>
        <w:t>22</w:t>
      </w:r>
      <w:r w:rsidR="00FB5DDA" w:rsidRPr="00D54BD2">
        <w:rPr>
          <w:bCs/>
          <w:iCs/>
          <w:spacing w:val="-1"/>
        </w:rPr>
        <w:t xml:space="preserve"> </w:t>
      </w:r>
      <w:r w:rsidRPr="00D54BD2">
        <w:rPr>
          <w:bCs/>
          <w:iCs/>
          <w:spacing w:val="-1"/>
        </w:rPr>
        <w:t>б от ЗПСК за изплатена цена и при поискване за изпълнение на други задължения;</w:t>
      </w:r>
    </w:p>
    <w:p w:rsidR="004B64BF" w:rsidRPr="00D54BD2" w:rsidRDefault="004B64BF" w:rsidP="004B64BF">
      <w:pPr>
        <w:numPr>
          <w:ilvl w:val="0"/>
          <w:numId w:val="7"/>
        </w:numPr>
        <w:tabs>
          <w:tab w:val="clear" w:pos="734"/>
        </w:tabs>
        <w:ind w:left="0" w:firstLine="374"/>
        <w:jc w:val="both"/>
      </w:pPr>
      <w:r w:rsidRPr="00D54BD2">
        <w:rPr>
          <w:bCs/>
          <w:iCs/>
          <w:spacing w:val="-1"/>
        </w:rPr>
        <w:t>При постъпило и</w:t>
      </w:r>
      <w:r w:rsidR="007278EA" w:rsidRPr="00D54BD2">
        <w:rPr>
          <w:bCs/>
          <w:iCs/>
          <w:spacing w:val="-1"/>
        </w:rPr>
        <w:t>скане и след извършена проверка</w:t>
      </w:r>
      <w:r w:rsidRPr="00D54BD2">
        <w:rPr>
          <w:bCs/>
          <w:iCs/>
          <w:spacing w:val="-1"/>
        </w:rPr>
        <w:t>, издаване на удостоверение по чл.78, ал. 2 от Зак</w:t>
      </w:r>
      <w:r w:rsidR="001F0C7C" w:rsidRPr="00D54BD2">
        <w:rPr>
          <w:bCs/>
          <w:iCs/>
          <w:spacing w:val="-1"/>
        </w:rPr>
        <w:t>она за държавната собственост (</w:t>
      </w:r>
      <w:r w:rsidRPr="00D54BD2">
        <w:rPr>
          <w:bCs/>
          <w:iCs/>
          <w:spacing w:val="-1"/>
        </w:rPr>
        <w:t>ДВ</w:t>
      </w:r>
      <w:r w:rsidR="00ED21BA" w:rsidRPr="00D54BD2">
        <w:rPr>
          <w:bCs/>
          <w:iCs/>
          <w:spacing w:val="-1"/>
        </w:rPr>
        <w:t>,</w:t>
      </w:r>
      <w:r w:rsidRPr="00D54BD2">
        <w:rPr>
          <w:bCs/>
          <w:iCs/>
          <w:spacing w:val="-1"/>
        </w:rPr>
        <w:t xml:space="preserve"> бр.</w:t>
      </w:r>
      <w:r w:rsidR="00ED21BA" w:rsidRPr="00D54BD2">
        <w:rPr>
          <w:bCs/>
          <w:iCs/>
          <w:spacing w:val="-1"/>
        </w:rPr>
        <w:t xml:space="preserve"> </w:t>
      </w:r>
      <w:r w:rsidRPr="00D54BD2">
        <w:rPr>
          <w:bCs/>
          <w:iCs/>
          <w:spacing w:val="-1"/>
        </w:rPr>
        <w:t>18 от 2010</w:t>
      </w:r>
      <w:r w:rsidR="00ED21BA" w:rsidRPr="00D54BD2">
        <w:rPr>
          <w:bCs/>
          <w:iCs/>
          <w:spacing w:val="-1"/>
        </w:rPr>
        <w:t xml:space="preserve"> </w:t>
      </w:r>
      <w:r w:rsidRPr="00D54BD2">
        <w:rPr>
          <w:bCs/>
          <w:iCs/>
          <w:spacing w:val="-1"/>
        </w:rPr>
        <w:t>г.)  за липса на задължения, произтичащи  от неизпълнение  на договор за приватизационна продажба.</w:t>
      </w:r>
    </w:p>
    <w:p w:rsidR="004B64BF" w:rsidRPr="0092525A" w:rsidRDefault="004B64BF" w:rsidP="004B64BF">
      <w:pPr>
        <w:shd w:val="clear" w:color="auto" w:fill="FFFFFF"/>
        <w:rPr>
          <w:color w:val="000000"/>
        </w:rPr>
      </w:pPr>
    </w:p>
    <w:p w:rsidR="004B64BF" w:rsidRDefault="004B64BF" w:rsidP="003664C4">
      <w:pPr>
        <w:shd w:val="clear" w:color="auto" w:fill="FFFFFF"/>
        <w:rPr>
          <w:b/>
          <w:bCs/>
          <w:i/>
          <w:color w:val="008080"/>
          <w:spacing w:val="-1"/>
        </w:rPr>
      </w:pPr>
      <w:r w:rsidRPr="00443B59">
        <w:rPr>
          <w:b/>
          <w:bCs/>
          <w:i/>
          <w:color w:val="008080"/>
          <w:spacing w:val="-1"/>
        </w:rPr>
        <w:t>Правно осигуряване на следприватизационния контрол</w:t>
      </w:r>
    </w:p>
    <w:p w:rsidR="005C09F6" w:rsidRPr="00D9144E" w:rsidRDefault="005C09F6" w:rsidP="003664C4">
      <w:pPr>
        <w:shd w:val="clear" w:color="auto" w:fill="FFFFFF"/>
        <w:rPr>
          <w:b/>
          <w:bCs/>
          <w:i/>
          <w:color w:val="008080"/>
          <w:spacing w:val="-1"/>
        </w:rPr>
      </w:pPr>
    </w:p>
    <w:p w:rsidR="004B64BF" w:rsidRPr="00AE7962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AE7962">
        <w:t>Осигуряване на активност при образуването на изпълнителни дела, както и в рамките на вече започналите изпълнителни производства чрез своевременното и ефективно използване на принудителните способи за изпълнение, като се стимулира използването на всички законови възможности за събиране на вземанията на Агенцията, включително чрез сключване на спогодби да изплащане на дълга.</w:t>
      </w:r>
    </w:p>
    <w:p w:rsidR="004B64BF" w:rsidRPr="00AE7962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AE7962">
        <w:t>Своевременно предявяване на вземанията на АПСК в производство по несъстоятелност или ликвидация на купувачите по приватизационните договори, както и по отношение на приватизирани дружества в случаите на вписано обезпечение;</w:t>
      </w:r>
    </w:p>
    <w:p w:rsidR="004B64BF" w:rsidRPr="00AE7962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AE7962">
        <w:t>Своевременно събиране на</w:t>
      </w:r>
      <w:r>
        <w:t xml:space="preserve"> съдебни книжа, вписване на обез</w:t>
      </w:r>
      <w:r w:rsidRPr="00AE7962">
        <w:t>печителни заповеди, издадени по молби от АПСК, снабдяване с изпълнителни листа в полза на АПСК и предприемане на действия за образуване на изпълнително производство;</w:t>
      </w:r>
    </w:p>
    <w:p w:rsidR="004B64BF" w:rsidRPr="00BE7F33" w:rsidRDefault="004B64BF" w:rsidP="004B64BF">
      <w:pPr>
        <w:numPr>
          <w:ilvl w:val="0"/>
          <w:numId w:val="7"/>
        </w:numPr>
        <w:tabs>
          <w:tab w:val="clear" w:pos="734"/>
          <w:tab w:val="num" w:pos="0"/>
        </w:tabs>
        <w:ind w:left="0" w:firstLine="374"/>
        <w:jc w:val="both"/>
      </w:pPr>
      <w:r w:rsidRPr="00AE7962">
        <w:t>Осъществяване на навременни действия по предявяване по съдебен ред на претенциите на Агенцията в случаите на констатирано неизпълнение на задълженията по приватизационни договори, както и тяхното обезпечаване.  Изготвяне на молби за издаване на заповеди за незабавно изпълнение за вземанията, представляващи неизплатени вноски от цената по приватизационните договори и своевременно предприемане на действия за обезпечаването им в нормативно изискуемите срокове и в съответствие с действащите вътрешни правила.</w:t>
      </w:r>
    </w:p>
    <w:p w:rsidR="004B64BF" w:rsidRPr="0092525A" w:rsidRDefault="004B64BF" w:rsidP="004B64BF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4B64BF" w:rsidRPr="00676B81" w:rsidRDefault="004B64BF" w:rsidP="004B64BF">
      <w:pPr>
        <w:pStyle w:val="Heading1"/>
        <w:rPr>
          <w:rFonts w:ascii="Times New Roman" w:hAnsi="Times New Roman" w:cs="Times New Roman"/>
          <w:color w:val="008080"/>
          <w:sz w:val="28"/>
          <w:szCs w:val="28"/>
        </w:rPr>
      </w:pPr>
      <w:r w:rsidRPr="00676B81">
        <w:rPr>
          <w:rFonts w:ascii="Times New Roman" w:hAnsi="Times New Roman" w:cs="Times New Roman"/>
          <w:color w:val="008080"/>
          <w:sz w:val="28"/>
          <w:szCs w:val="28"/>
        </w:rPr>
        <w:lastRenderedPageBreak/>
        <w:t>ИЗПОЛЗВАНИ СЪКРАЩЕНИЯ</w:t>
      </w:r>
    </w:p>
    <w:p w:rsidR="00302A79" w:rsidRDefault="00302A79" w:rsidP="00302A79">
      <w:pPr>
        <w:tabs>
          <w:tab w:val="center" w:pos="-1683"/>
        </w:tabs>
        <w:ind w:left="2160" w:hanging="2160"/>
      </w:pPr>
    </w:p>
    <w:p w:rsidR="00302A79" w:rsidRDefault="00302A79" w:rsidP="00302A79">
      <w:pPr>
        <w:tabs>
          <w:tab w:val="center" w:pos="-1683"/>
        </w:tabs>
        <w:ind w:left="2160" w:hanging="2160"/>
      </w:pPr>
    </w:p>
    <w:p w:rsidR="00302A79" w:rsidRDefault="00302A79" w:rsidP="00302A79">
      <w:pPr>
        <w:tabs>
          <w:tab w:val="center" w:pos="-1683"/>
        </w:tabs>
        <w:ind w:left="2160" w:hanging="2160"/>
      </w:pPr>
    </w:p>
    <w:p w:rsidR="004B64BF" w:rsidRPr="0025196A" w:rsidRDefault="004B64BF" w:rsidP="00302A79">
      <w:pPr>
        <w:tabs>
          <w:tab w:val="center" w:pos="-1683"/>
        </w:tabs>
        <w:ind w:left="2160" w:hanging="2160"/>
        <w:rPr>
          <w:color w:val="000000"/>
        </w:rPr>
      </w:pPr>
      <w:r>
        <w:t>АПСК</w:t>
      </w:r>
      <w:r>
        <w:tab/>
      </w:r>
      <w:r w:rsidRPr="0092525A">
        <w:rPr>
          <w:color w:val="000000"/>
        </w:rPr>
        <w:t>Агенцията за приватизация и следприватизационен контрол</w:t>
      </w:r>
      <w:r w:rsidR="00302A79">
        <w:rPr>
          <w:color w:val="000000"/>
        </w:rPr>
        <w:t>,</w:t>
      </w:r>
      <w:r>
        <w:rPr>
          <w:color w:val="000000"/>
        </w:rPr>
        <w:t xml:space="preserve"> </w:t>
      </w:r>
      <w:r>
        <w:t>(Агенцията)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ЗПСК </w:t>
      </w:r>
      <w:r>
        <w:tab/>
      </w:r>
      <w:r w:rsidR="00302A79">
        <w:tab/>
      </w:r>
      <w:r w:rsidR="00302A79">
        <w:tab/>
      </w:r>
      <w:r w:rsidRPr="0092525A">
        <w:rPr>
          <w:color w:val="000000"/>
        </w:rPr>
        <w:t>Закона за приватизация и следприватизационен контрол</w:t>
      </w:r>
    </w:p>
    <w:p w:rsidR="004B64BF" w:rsidRPr="004B6E8E" w:rsidRDefault="004B64BF" w:rsidP="004B64BF">
      <w:pPr>
        <w:tabs>
          <w:tab w:val="center" w:pos="-1683"/>
        </w:tabs>
        <w:ind w:left="1122" w:hanging="1122"/>
      </w:pPr>
      <w:r w:rsidRPr="004B6E8E">
        <w:t>ЗДС</w:t>
      </w:r>
      <w:r w:rsidRPr="004B6E8E">
        <w:tab/>
      </w:r>
      <w:r w:rsidR="00302A79">
        <w:tab/>
      </w:r>
      <w:r w:rsidR="00302A79">
        <w:tab/>
      </w:r>
      <w:r w:rsidRPr="004B6E8E">
        <w:t>Закон за държавната собственост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БАБХ  </w:t>
      </w:r>
      <w:r>
        <w:tab/>
      </w:r>
      <w:r w:rsidR="00302A79">
        <w:tab/>
      </w:r>
      <w:r w:rsidR="00302A79">
        <w:tab/>
      </w:r>
      <w:r w:rsidRPr="0092525A">
        <w:t xml:space="preserve">Българска агенция за безопасност на храните 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МВР </w:t>
      </w:r>
      <w:r>
        <w:tab/>
      </w:r>
      <w:r w:rsidR="00302A79">
        <w:tab/>
      </w:r>
      <w:r w:rsidR="00302A79">
        <w:tab/>
      </w:r>
      <w:r>
        <w:t>Министерство на вътрешните работи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>МФ</w:t>
      </w:r>
      <w:r>
        <w:tab/>
      </w:r>
      <w:r w:rsidR="00302A79">
        <w:tab/>
      </w:r>
      <w:r w:rsidR="00302A79">
        <w:tab/>
      </w:r>
      <w:r>
        <w:t>Министерство на финансите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>МИ</w:t>
      </w:r>
      <w:r>
        <w:tab/>
      </w:r>
      <w:r w:rsidR="00302A79">
        <w:tab/>
      </w:r>
      <w:r w:rsidR="00302A79">
        <w:tab/>
      </w:r>
      <w:r>
        <w:t>Министерство на икономиката</w:t>
      </w:r>
    </w:p>
    <w:p w:rsidR="004B64BF" w:rsidRDefault="004B64BF" w:rsidP="004B64BF">
      <w:pPr>
        <w:tabs>
          <w:tab w:val="center" w:pos="-1683"/>
        </w:tabs>
        <w:ind w:left="1122" w:hanging="1122"/>
      </w:pPr>
      <w:r>
        <w:t>МРРБ</w:t>
      </w:r>
      <w:r>
        <w:tab/>
      </w:r>
      <w:r w:rsidR="00302A79">
        <w:tab/>
      </w:r>
      <w:r w:rsidR="00302A79">
        <w:tab/>
      </w:r>
      <w:r>
        <w:t>Министерство на регионалното развитие и благоустройството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МО </w:t>
      </w:r>
      <w:r>
        <w:tab/>
      </w:r>
      <w:r w:rsidR="00302A79">
        <w:tab/>
      </w:r>
      <w:r w:rsidR="00302A79">
        <w:tab/>
      </w:r>
      <w:r>
        <w:t>Министерство на отбраната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t xml:space="preserve">МЗХ </w:t>
      </w:r>
      <w:r>
        <w:tab/>
      </w:r>
      <w:r w:rsidR="00302A79">
        <w:tab/>
      </w:r>
      <w:r w:rsidR="00302A79">
        <w:tab/>
      </w:r>
      <w:r>
        <w:t>Министерство на земеделието и храните</w:t>
      </w:r>
    </w:p>
    <w:p w:rsidR="000123F6" w:rsidRDefault="000123F6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</w:rPr>
        <w:t>МВнР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Министерство на външните работи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  <w:spacing w:val="-1"/>
        </w:rPr>
        <w:t>НОИ</w:t>
      </w:r>
      <w:r w:rsidRPr="0092525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>
        <w:rPr>
          <w:color w:val="000000"/>
          <w:spacing w:val="-1"/>
        </w:rPr>
        <w:t>Национален осигурителен институт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  <w:spacing w:val="-1"/>
        </w:rPr>
        <w:t>ЦРОЗ</w:t>
      </w:r>
      <w:r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 w:rsidR="00302A79">
        <w:rPr>
          <w:color w:val="000000"/>
          <w:spacing w:val="-1"/>
        </w:rPr>
        <w:tab/>
      </w:r>
      <w:r>
        <w:rPr>
          <w:color w:val="000000"/>
          <w:spacing w:val="-1"/>
        </w:rPr>
        <w:t>Централен регистър на особените залози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>
        <w:rPr>
          <w:color w:val="000000"/>
        </w:rPr>
        <w:t xml:space="preserve">РИОСВ </w:t>
      </w:r>
      <w:r>
        <w:rPr>
          <w:color w:val="000000"/>
        </w:rPr>
        <w:tab/>
      </w:r>
      <w:r w:rsidR="00302A79">
        <w:rPr>
          <w:color w:val="000000"/>
        </w:rPr>
        <w:tab/>
      </w:r>
      <w:r w:rsidR="00302A79">
        <w:rPr>
          <w:color w:val="000000"/>
        </w:rPr>
        <w:tab/>
      </w:r>
      <w:r>
        <w:rPr>
          <w:color w:val="000000"/>
        </w:rPr>
        <w:t>Регионална инспекция по околната среда и водите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 w:rsidRPr="0092525A">
        <w:rPr>
          <w:color w:val="000000"/>
        </w:rPr>
        <w:t>КЕВР</w:t>
      </w:r>
      <w:r>
        <w:rPr>
          <w:color w:val="000000"/>
        </w:rPr>
        <w:tab/>
      </w:r>
      <w:r w:rsidR="00302A79">
        <w:rPr>
          <w:color w:val="000000"/>
        </w:rPr>
        <w:tab/>
      </w:r>
      <w:r w:rsidR="00302A79">
        <w:rPr>
          <w:color w:val="000000"/>
        </w:rPr>
        <w:tab/>
      </w:r>
      <w:r w:rsidR="001F0C7C">
        <w:rPr>
          <w:color w:val="000000"/>
        </w:rPr>
        <w:t>Комисия</w:t>
      </w:r>
      <w:r>
        <w:rPr>
          <w:color w:val="000000"/>
        </w:rPr>
        <w:t xml:space="preserve"> за енергийно и водно регулиране</w:t>
      </w:r>
    </w:p>
    <w:p w:rsidR="004B64BF" w:rsidRDefault="004B64BF" w:rsidP="004B64BF">
      <w:pPr>
        <w:tabs>
          <w:tab w:val="center" w:pos="-1683"/>
        </w:tabs>
        <w:ind w:left="1122" w:hanging="1122"/>
        <w:rPr>
          <w:color w:val="000000"/>
        </w:rPr>
      </w:pPr>
      <w:r w:rsidRPr="0092525A">
        <w:rPr>
          <w:color w:val="000000"/>
        </w:rPr>
        <w:t>ДА “Д</w:t>
      </w:r>
      <w:r>
        <w:rPr>
          <w:color w:val="000000"/>
        </w:rPr>
        <w:t xml:space="preserve">Р и ВВЗ”   </w:t>
      </w:r>
      <w:r w:rsidR="00302A79">
        <w:rPr>
          <w:color w:val="000000"/>
        </w:rPr>
        <w:tab/>
      </w:r>
      <w:r>
        <w:rPr>
          <w:color w:val="000000"/>
        </w:rPr>
        <w:t>Държавна агенция “Държавен резерв и военновременни запаси”</w:t>
      </w:r>
    </w:p>
    <w:p w:rsidR="006D7371" w:rsidRPr="00302A79" w:rsidRDefault="006D7371"/>
    <w:sectPr w:rsidR="006D7371" w:rsidRPr="00302A79" w:rsidSect="00BD0178">
      <w:footerReference w:type="even" r:id="rId10"/>
      <w:footerReference w:type="default" r:id="rId11"/>
      <w:pgSz w:w="11906" w:h="16838" w:code="9"/>
      <w:pgMar w:top="1077" w:right="1418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68" w:rsidRDefault="003A5C68">
      <w:r>
        <w:separator/>
      </w:r>
    </w:p>
  </w:endnote>
  <w:endnote w:type="continuationSeparator" w:id="0">
    <w:p w:rsidR="003A5C68" w:rsidRDefault="003A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3F6" w:rsidRDefault="000123F6" w:rsidP="005320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F6" w:rsidRDefault="000123F6" w:rsidP="00C001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5CB9">
      <w:rPr>
        <w:rStyle w:val="PageNumber"/>
        <w:noProof/>
      </w:rPr>
      <w:t>3</w:t>
    </w:r>
    <w:r>
      <w:rPr>
        <w:rStyle w:val="PageNumber"/>
      </w:rPr>
      <w:fldChar w:fldCharType="end"/>
    </w:r>
  </w:p>
  <w:p w:rsidR="002312B9" w:rsidRDefault="002312B9" w:rsidP="005320E3">
    <w:pPr>
      <w:pStyle w:val="Footer"/>
      <w:ind w:right="360"/>
      <w:rPr>
        <w:i/>
        <w:sz w:val="20"/>
        <w:szCs w:val="20"/>
      </w:rPr>
    </w:pPr>
  </w:p>
  <w:p w:rsidR="002312B9" w:rsidRDefault="00A75CB9" w:rsidP="005320E3">
    <w:pPr>
      <w:pStyle w:val="Footer"/>
      <w:ind w:right="360"/>
      <w:rPr>
        <w:i/>
        <w:sz w:val="20"/>
        <w:szCs w:val="20"/>
      </w:rPr>
    </w:pPr>
    <w:r>
      <w:rPr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0123F6" w:rsidRPr="005320E3" w:rsidRDefault="000123F6" w:rsidP="005320E3">
    <w:pPr>
      <w:pStyle w:val="Footer"/>
      <w:ind w:right="360"/>
      <w:rPr>
        <w:i/>
        <w:sz w:val="20"/>
        <w:szCs w:val="20"/>
      </w:rPr>
    </w:pPr>
    <w:r w:rsidRPr="005320E3">
      <w:rPr>
        <w:i/>
        <w:sz w:val="20"/>
        <w:szCs w:val="20"/>
      </w:rPr>
      <w:t>План за работа на Агенцията за приватизация и следприватизационен контрол</w:t>
    </w:r>
    <w:r>
      <w:rPr>
        <w:i/>
        <w:sz w:val="20"/>
        <w:szCs w:val="20"/>
      </w:rPr>
      <w:t xml:space="preserve"> през 201</w:t>
    </w:r>
    <w:r w:rsidR="00185F94">
      <w:rPr>
        <w:i/>
        <w:sz w:val="20"/>
        <w:szCs w:val="20"/>
      </w:rPr>
      <w:t>7</w:t>
    </w:r>
    <w:r>
      <w:rPr>
        <w:i/>
        <w:sz w:val="20"/>
        <w:szCs w:val="20"/>
      </w:rPr>
      <w:t xml:space="preserve">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68" w:rsidRDefault="003A5C68">
      <w:r>
        <w:separator/>
      </w:r>
    </w:p>
  </w:footnote>
  <w:footnote w:type="continuationSeparator" w:id="0">
    <w:p w:rsidR="003A5C68" w:rsidRDefault="003A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708"/>
    <w:multiLevelType w:val="hybridMultilevel"/>
    <w:tmpl w:val="6D14FD5A"/>
    <w:lvl w:ilvl="0" w:tplc="12EE9E1E">
      <w:start w:val="1"/>
      <w:numFmt w:val="bullet"/>
      <w:lvlText w:val=""/>
      <w:lvlJc w:val="left"/>
      <w:pPr>
        <w:tabs>
          <w:tab w:val="num" w:pos="989"/>
        </w:tabs>
        <w:ind w:left="989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">
    <w:nsid w:val="2D304704"/>
    <w:multiLevelType w:val="hybridMultilevel"/>
    <w:tmpl w:val="32ECE2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57DFF"/>
    <w:multiLevelType w:val="hybridMultilevel"/>
    <w:tmpl w:val="C6646E5A"/>
    <w:lvl w:ilvl="0" w:tplc="0A68A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60861"/>
    <w:multiLevelType w:val="hybridMultilevel"/>
    <w:tmpl w:val="5866DCDC"/>
    <w:lvl w:ilvl="0" w:tplc="0402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">
    <w:nsid w:val="47E025BA"/>
    <w:multiLevelType w:val="hybridMultilevel"/>
    <w:tmpl w:val="5F281550"/>
    <w:lvl w:ilvl="0" w:tplc="227C6D58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  <w:lang w:val="bg-BG"/>
      </w:rPr>
    </w:lvl>
    <w:lvl w:ilvl="1" w:tplc="08085A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24D34"/>
    <w:multiLevelType w:val="hybridMultilevel"/>
    <w:tmpl w:val="5498CC0C"/>
    <w:lvl w:ilvl="0" w:tplc="6CA8E8A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</w:rPr>
    </w:lvl>
    <w:lvl w:ilvl="1" w:tplc="0194F708">
      <w:start w:val="2"/>
      <w:numFmt w:val="bullet"/>
      <w:lvlText w:val="-"/>
      <w:lvlJc w:val="left"/>
      <w:pPr>
        <w:tabs>
          <w:tab w:val="num" w:pos="1454"/>
        </w:tabs>
        <w:ind w:left="145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6">
    <w:nsid w:val="53D01BBC"/>
    <w:multiLevelType w:val="hybridMultilevel"/>
    <w:tmpl w:val="198C9124"/>
    <w:lvl w:ilvl="0" w:tplc="A0206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3276C"/>
    <w:multiLevelType w:val="hybridMultilevel"/>
    <w:tmpl w:val="FA24E8D6"/>
    <w:lvl w:ilvl="0" w:tplc="E6E21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CB27D8"/>
    <w:multiLevelType w:val="hybridMultilevel"/>
    <w:tmpl w:val="921E376E"/>
    <w:lvl w:ilvl="0" w:tplc="94CCCA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E10E4"/>
    <w:multiLevelType w:val="hybridMultilevel"/>
    <w:tmpl w:val="304C4A2A"/>
    <w:lvl w:ilvl="0" w:tplc="BA3E4BCE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</w:rPr>
    </w:lvl>
    <w:lvl w:ilvl="1" w:tplc="0402000B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  <w:color w:val="008080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0">
    <w:nsid w:val="740F249E"/>
    <w:multiLevelType w:val="hybridMultilevel"/>
    <w:tmpl w:val="DB8288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8515E"/>
    <w:multiLevelType w:val="hybridMultilevel"/>
    <w:tmpl w:val="4C9A41CC"/>
    <w:lvl w:ilvl="0" w:tplc="96CA658A">
      <w:start w:val="1"/>
      <w:numFmt w:val="bullet"/>
      <w:lvlText w:val="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  <w:color w:val="00808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9"/>
    <w:rsid w:val="00000856"/>
    <w:rsid w:val="00005062"/>
    <w:rsid w:val="00005624"/>
    <w:rsid w:val="00005CC7"/>
    <w:rsid w:val="00010E37"/>
    <w:rsid w:val="000123F6"/>
    <w:rsid w:val="00013AFC"/>
    <w:rsid w:val="0001688B"/>
    <w:rsid w:val="00023A2D"/>
    <w:rsid w:val="00033B04"/>
    <w:rsid w:val="000367AA"/>
    <w:rsid w:val="00037DF4"/>
    <w:rsid w:val="00050C7D"/>
    <w:rsid w:val="000569D2"/>
    <w:rsid w:val="00057102"/>
    <w:rsid w:val="000607F2"/>
    <w:rsid w:val="000658C0"/>
    <w:rsid w:val="000749B6"/>
    <w:rsid w:val="00074BCB"/>
    <w:rsid w:val="00074D84"/>
    <w:rsid w:val="00077103"/>
    <w:rsid w:val="0008404C"/>
    <w:rsid w:val="00084300"/>
    <w:rsid w:val="000852C2"/>
    <w:rsid w:val="00087735"/>
    <w:rsid w:val="000A63C8"/>
    <w:rsid w:val="000A7EA5"/>
    <w:rsid w:val="000C3653"/>
    <w:rsid w:val="000E3167"/>
    <w:rsid w:val="000E35C9"/>
    <w:rsid w:val="000F029E"/>
    <w:rsid w:val="000F5E8A"/>
    <w:rsid w:val="00107D8C"/>
    <w:rsid w:val="001124BA"/>
    <w:rsid w:val="0011707F"/>
    <w:rsid w:val="00124524"/>
    <w:rsid w:val="00124CDE"/>
    <w:rsid w:val="001306F6"/>
    <w:rsid w:val="0013361F"/>
    <w:rsid w:val="001408FD"/>
    <w:rsid w:val="00145A57"/>
    <w:rsid w:val="00151ED9"/>
    <w:rsid w:val="00152FC9"/>
    <w:rsid w:val="00163AC2"/>
    <w:rsid w:val="00165B0F"/>
    <w:rsid w:val="00170FE4"/>
    <w:rsid w:val="0017128A"/>
    <w:rsid w:val="001715F4"/>
    <w:rsid w:val="001767E6"/>
    <w:rsid w:val="00180E56"/>
    <w:rsid w:val="00182FBA"/>
    <w:rsid w:val="00185BCD"/>
    <w:rsid w:val="00185F94"/>
    <w:rsid w:val="001861A2"/>
    <w:rsid w:val="00195F2C"/>
    <w:rsid w:val="001A0E45"/>
    <w:rsid w:val="001A5F9A"/>
    <w:rsid w:val="001A6E13"/>
    <w:rsid w:val="001B0210"/>
    <w:rsid w:val="001B20E8"/>
    <w:rsid w:val="001B332A"/>
    <w:rsid w:val="001C5D34"/>
    <w:rsid w:val="001C7518"/>
    <w:rsid w:val="001D7A3F"/>
    <w:rsid w:val="001E0442"/>
    <w:rsid w:val="001E7125"/>
    <w:rsid w:val="001F0C7C"/>
    <w:rsid w:val="001F1210"/>
    <w:rsid w:val="001F7CAA"/>
    <w:rsid w:val="002061F0"/>
    <w:rsid w:val="00207CF0"/>
    <w:rsid w:val="002212DA"/>
    <w:rsid w:val="00224979"/>
    <w:rsid w:val="00225419"/>
    <w:rsid w:val="002312B9"/>
    <w:rsid w:val="002316AA"/>
    <w:rsid w:val="002319B5"/>
    <w:rsid w:val="002413CE"/>
    <w:rsid w:val="00242A89"/>
    <w:rsid w:val="002471EC"/>
    <w:rsid w:val="00250E92"/>
    <w:rsid w:val="00251FD9"/>
    <w:rsid w:val="002538EC"/>
    <w:rsid w:val="00254AB0"/>
    <w:rsid w:val="00255314"/>
    <w:rsid w:val="002570AC"/>
    <w:rsid w:val="00260569"/>
    <w:rsid w:val="00261BFE"/>
    <w:rsid w:val="00263C49"/>
    <w:rsid w:val="00265481"/>
    <w:rsid w:val="002662A7"/>
    <w:rsid w:val="00271031"/>
    <w:rsid w:val="0027278F"/>
    <w:rsid w:val="002732FE"/>
    <w:rsid w:val="002736EF"/>
    <w:rsid w:val="002754C4"/>
    <w:rsid w:val="002805B9"/>
    <w:rsid w:val="002910D6"/>
    <w:rsid w:val="00291AFE"/>
    <w:rsid w:val="00293099"/>
    <w:rsid w:val="002A1BEB"/>
    <w:rsid w:val="002A2ABF"/>
    <w:rsid w:val="002A787A"/>
    <w:rsid w:val="002B405B"/>
    <w:rsid w:val="002B53E1"/>
    <w:rsid w:val="002C62BF"/>
    <w:rsid w:val="002C7EDC"/>
    <w:rsid w:val="002D0DC6"/>
    <w:rsid w:val="002D0EB2"/>
    <w:rsid w:val="002D6F7A"/>
    <w:rsid w:val="002D7FF2"/>
    <w:rsid w:val="002E2E5C"/>
    <w:rsid w:val="002E55E7"/>
    <w:rsid w:val="002F39A1"/>
    <w:rsid w:val="002F6D4E"/>
    <w:rsid w:val="00300EB9"/>
    <w:rsid w:val="00302A79"/>
    <w:rsid w:val="0031082D"/>
    <w:rsid w:val="003115F3"/>
    <w:rsid w:val="00312269"/>
    <w:rsid w:val="0032010C"/>
    <w:rsid w:val="00320D58"/>
    <w:rsid w:val="00332A4B"/>
    <w:rsid w:val="00334252"/>
    <w:rsid w:val="00337973"/>
    <w:rsid w:val="003434ED"/>
    <w:rsid w:val="003466FF"/>
    <w:rsid w:val="00346850"/>
    <w:rsid w:val="00350545"/>
    <w:rsid w:val="00351932"/>
    <w:rsid w:val="003531DF"/>
    <w:rsid w:val="003664C4"/>
    <w:rsid w:val="00367DF1"/>
    <w:rsid w:val="00372942"/>
    <w:rsid w:val="0037679C"/>
    <w:rsid w:val="00381917"/>
    <w:rsid w:val="00393C28"/>
    <w:rsid w:val="00397958"/>
    <w:rsid w:val="003A34D6"/>
    <w:rsid w:val="003A5C68"/>
    <w:rsid w:val="003C1166"/>
    <w:rsid w:val="003C35AA"/>
    <w:rsid w:val="003C4969"/>
    <w:rsid w:val="003D24B5"/>
    <w:rsid w:val="003E515A"/>
    <w:rsid w:val="003E6A13"/>
    <w:rsid w:val="003F1C22"/>
    <w:rsid w:val="003F390F"/>
    <w:rsid w:val="003F6D65"/>
    <w:rsid w:val="00413B54"/>
    <w:rsid w:val="0042446D"/>
    <w:rsid w:val="00433886"/>
    <w:rsid w:val="004352C9"/>
    <w:rsid w:val="00437C69"/>
    <w:rsid w:val="004566DE"/>
    <w:rsid w:val="00462414"/>
    <w:rsid w:val="00462DA0"/>
    <w:rsid w:val="0046368E"/>
    <w:rsid w:val="00464BB7"/>
    <w:rsid w:val="004738B4"/>
    <w:rsid w:val="00477359"/>
    <w:rsid w:val="004773EE"/>
    <w:rsid w:val="00482C7B"/>
    <w:rsid w:val="00487689"/>
    <w:rsid w:val="00492C61"/>
    <w:rsid w:val="004A07C8"/>
    <w:rsid w:val="004A26A9"/>
    <w:rsid w:val="004A7E14"/>
    <w:rsid w:val="004B0E16"/>
    <w:rsid w:val="004B3202"/>
    <w:rsid w:val="004B443D"/>
    <w:rsid w:val="004B64BF"/>
    <w:rsid w:val="004B6E8E"/>
    <w:rsid w:val="004D0684"/>
    <w:rsid w:val="004F5E97"/>
    <w:rsid w:val="00502D43"/>
    <w:rsid w:val="0050773F"/>
    <w:rsid w:val="005102A7"/>
    <w:rsid w:val="00510432"/>
    <w:rsid w:val="005141C8"/>
    <w:rsid w:val="0051519F"/>
    <w:rsid w:val="00516B87"/>
    <w:rsid w:val="00520A4A"/>
    <w:rsid w:val="00526552"/>
    <w:rsid w:val="005319E4"/>
    <w:rsid w:val="005320E3"/>
    <w:rsid w:val="00534FCC"/>
    <w:rsid w:val="005355D9"/>
    <w:rsid w:val="0054642A"/>
    <w:rsid w:val="005514D9"/>
    <w:rsid w:val="005620F2"/>
    <w:rsid w:val="00573B29"/>
    <w:rsid w:val="00584F38"/>
    <w:rsid w:val="00585D6D"/>
    <w:rsid w:val="00585E70"/>
    <w:rsid w:val="00587391"/>
    <w:rsid w:val="00590AF9"/>
    <w:rsid w:val="005918AD"/>
    <w:rsid w:val="00594184"/>
    <w:rsid w:val="00594943"/>
    <w:rsid w:val="00596CB8"/>
    <w:rsid w:val="005A6623"/>
    <w:rsid w:val="005B00C4"/>
    <w:rsid w:val="005B06D2"/>
    <w:rsid w:val="005B725D"/>
    <w:rsid w:val="005C09F6"/>
    <w:rsid w:val="005C14F8"/>
    <w:rsid w:val="005D042D"/>
    <w:rsid w:val="005D1DF9"/>
    <w:rsid w:val="005D4638"/>
    <w:rsid w:val="005D6526"/>
    <w:rsid w:val="005E0E95"/>
    <w:rsid w:val="005E2B89"/>
    <w:rsid w:val="005E4319"/>
    <w:rsid w:val="005E6AB7"/>
    <w:rsid w:val="005E7509"/>
    <w:rsid w:val="005E759E"/>
    <w:rsid w:val="005F04A6"/>
    <w:rsid w:val="005F0F2A"/>
    <w:rsid w:val="005F47ED"/>
    <w:rsid w:val="005F59DD"/>
    <w:rsid w:val="005F64C4"/>
    <w:rsid w:val="005F7C0C"/>
    <w:rsid w:val="00601DC9"/>
    <w:rsid w:val="0060589E"/>
    <w:rsid w:val="00612612"/>
    <w:rsid w:val="00616A35"/>
    <w:rsid w:val="006274DB"/>
    <w:rsid w:val="00633E67"/>
    <w:rsid w:val="0063453A"/>
    <w:rsid w:val="00642B0E"/>
    <w:rsid w:val="00642E3E"/>
    <w:rsid w:val="00642F6D"/>
    <w:rsid w:val="006644C7"/>
    <w:rsid w:val="00665C79"/>
    <w:rsid w:val="00682094"/>
    <w:rsid w:val="006857DE"/>
    <w:rsid w:val="00685B3F"/>
    <w:rsid w:val="00690347"/>
    <w:rsid w:val="00690F7C"/>
    <w:rsid w:val="006A1CD6"/>
    <w:rsid w:val="006A4359"/>
    <w:rsid w:val="006A6885"/>
    <w:rsid w:val="006B22D2"/>
    <w:rsid w:val="006B50CE"/>
    <w:rsid w:val="006C0732"/>
    <w:rsid w:val="006C0C2A"/>
    <w:rsid w:val="006D0BB9"/>
    <w:rsid w:val="006D2FEF"/>
    <w:rsid w:val="006D7371"/>
    <w:rsid w:val="006D7A58"/>
    <w:rsid w:val="006E32BD"/>
    <w:rsid w:val="007001A6"/>
    <w:rsid w:val="007006A7"/>
    <w:rsid w:val="007007F7"/>
    <w:rsid w:val="007035C1"/>
    <w:rsid w:val="0071180D"/>
    <w:rsid w:val="007141CA"/>
    <w:rsid w:val="00717065"/>
    <w:rsid w:val="00720591"/>
    <w:rsid w:val="007205AD"/>
    <w:rsid w:val="007209C0"/>
    <w:rsid w:val="007278EA"/>
    <w:rsid w:val="00731AD9"/>
    <w:rsid w:val="007338AC"/>
    <w:rsid w:val="0074114C"/>
    <w:rsid w:val="00750D81"/>
    <w:rsid w:val="00751D1A"/>
    <w:rsid w:val="00753524"/>
    <w:rsid w:val="007551C2"/>
    <w:rsid w:val="007602FF"/>
    <w:rsid w:val="00763D8D"/>
    <w:rsid w:val="00764E69"/>
    <w:rsid w:val="00775FCD"/>
    <w:rsid w:val="00776B10"/>
    <w:rsid w:val="00782F28"/>
    <w:rsid w:val="007836CA"/>
    <w:rsid w:val="007876BA"/>
    <w:rsid w:val="00791BF2"/>
    <w:rsid w:val="007A4CAE"/>
    <w:rsid w:val="007B0009"/>
    <w:rsid w:val="007B1A44"/>
    <w:rsid w:val="007B366D"/>
    <w:rsid w:val="007C6940"/>
    <w:rsid w:val="007D4D13"/>
    <w:rsid w:val="007E0DDC"/>
    <w:rsid w:val="007E3EFE"/>
    <w:rsid w:val="007E731E"/>
    <w:rsid w:val="00802359"/>
    <w:rsid w:val="008033F5"/>
    <w:rsid w:val="0080764E"/>
    <w:rsid w:val="00812E09"/>
    <w:rsid w:val="0082510D"/>
    <w:rsid w:val="008260B0"/>
    <w:rsid w:val="00830CF2"/>
    <w:rsid w:val="00831518"/>
    <w:rsid w:val="008333BF"/>
    <w:rsid w:val="0083685E"/>
    <w:rsid w:val="008379C8"/>
    <w:rsid w:val="0084058B"/>
    <w:rsid w:val="0085010B"/>
    <w:rsid w:val="008523F6"/>
    <w:rsid w:val="00863303"/>
    <w:rsid w:val="00864599"/>
    <w:rsid w:val="00865B43"/>
    <w:rsid w:val="00871E87"/>
    <w:rsid w:val="00872D35"/>
    <w:rsid w:val="00872F79"/>
    <w:rsid w:val="00881047"/>
    <w:rsid w:val="00884154"/>
    <w:rsid w:val="008979E0"/>
    <w:rsid w:val="008A4DB7"/>
    <w:rsid w:val="008B0B18"/>
    <w:rsid w:val="008B13E6"/>
    <w:rsid w:val="008B1C86"/>
    <w:rsid w:val="008B65BB"/>
    <w:rsid w:val="008B6CCA"/>
    <w:rsid w:val="008C5B8C"/>
    <w:rsid w:val="008D0C78"/>
    <w:rsid w:val="008E5D46"/>
    <w:rsid w:val="008F45D7"/>
    <w:rsid w:val="00905919"/>
    <w:rsid w:val="00913069"/>
    <w:rsid w:val="00914224"/>
    <w:rsid w:val="009157EE"/>
    <w:rsid w:val="0091673B"/>
    <w:rsid w:val="00917CAF"/>
    <w:rsid w:val="00917E35"/>
    <w:rsid w:val="00925000"/>
    <w:rsid w:val="00927DA6"/>
    <w:rsid w:val="009369F1"/>
    <w:rsid w:val="0094063E"/>
    <w:rsid w:val="009427FD"/>
    <w:rsid w:val="00943133"/>
    <w:rsid w:val="009513A0"/>
    <w:rsid w:val="0095188C"/>
    <w:rsid w:val="009563B9"/>
    <w:rsid w:val="00966D48"/>
    <w:rsid w:val="00967A6C"/>
    <w:rsid w:val="009748BE"/>
    <w:rsid w:val="00981032"/>
    <w:rsid w:val="00984B25"/>
    <w:rsid w:val="00994411"/>
    <w:rsid w:val="00996883"/>
    <w:rsid w:val="00997590"/>
    <w:rsid w:val="00997F78"/>
    <w:rsid w:val="009B1010"/>
    <w:rsid w:val="009C2EFD"/>
    <w:rsid w:val="009C4416"/>
    <w:rsid w:val="009D06BF"/>
    <w:rsid w:val="009D34F1"/>
    <w:rsid w:val="009D4259"/>
    <w:rsid w:val="009E28D5"/>
    <w:rsid w:val="009E296C"/>
    <w:rsid w:val="009F037C"/>
    <w:rsid w:val="00A10918"/>
    <w:rsid w:val="00A11721"/>
    <w:rsid w:val="00A14F6E"/>
    <w:rsid w:val="00A157A3"/>
    <w:rsid w:val="00A16647"/>
    <w:rsid w:val="00A175CF"/>
    <w:rsid w:val="00A227CE"/>
    <w:rsid w:val="00A228D7"/>
    <w:rsid w:val="00A23CC6"/>
    <w:rsid w:val="00A30111"/>
    <w:rsid w:val="00A37673"/>
    <w:rsid w:val="00A43E7D"/>
    <w:rsid w:val="00A45B82"/>
    <w:rsid w:val="00A54461"/>
    <w:rsid w:val="00A6146C"/>
    <w:rsid w:val="00A748C7"/>
    <w:rsid w:val="00A75CB9"/>
    <w:rsid w:val="00A76DCD"/>
    <w:rsid w:val="00A81F41"/>
    <w:rsid w:val="00A835BC"/>
    <w:rsid w:val="00A901EE"/>
    <w:rsid w:val="00A90BFB"/>
    <w:rsid w:val="00A94B89"/>
    <w:rsid w:val="00AA0581"/>
    <w:rsid w:val="00AA23B1"/>
    <w:rsid w:val="00AA68D5"/>
    <w:rsid w:val="00AB28D4"/>
    <w:rsid w:val="00AB3601"/>
    <w:rsid w:val="00AD2997"/>
    <w:rsid w:val="00AD60D7"/>
    <w:rsid w:val="00AD6FB6"/>
    <w:rsid w:val="00AE283D"/>
    <w:rsid w:val="00AE326F"/>
    <w:rsid w:val="00AE63F4"/>
    <w:rsid w:val="00AE6818"/>
    <w:rsid w:val="00AF40D1"/>
    <w:rsid w:val="00AF540A"/>
    <w:rsid w:val="00AF60E8"/>
    <w:rsid w:val="00B06F73"/>
    <w:rsid w:val="00B2164A"/>
    <w:rsid w:val="00B2598E"/>
    <w:rsid w:val="00B26135"/>
    <w:rsid w:val="00B34562"/>
    <w:rsid w:val="00B41A10"/>
    <w:rsid w:val="00B44770"/>
    <w:rsid w:val="00B4484A"/>
    <w:rsid w:val="00B50BF8"/>
    <w:rsid w:val="00B519FD"/>
    <w:rsid w:val="00B53C23"/>
    <w:rsid w:val="00B628EF"/>
    <w:rsid w:val="00B76A1B"/>
    <w:rsid w:val="00B76CA4"/>
    <w:rsid w:val="00B819AD"/>
    <w:rsid w:val="00B85004"/>
    <w:rsid w:val="00B92D31"/>
    <w:rsid w:val="00B97E0C"/>
    <w:rsid w:val="00BA07D5"/>
    <w:rsid w:val="00BA0AC2"/>
    <w:rsid w:val="00BA6B29"/>
    <w:rsid w:val="00BC2E0C"/>
    <w:rsid w:val="00BC3A37"/>
    <w:rsid w:val="00BD0178"/>
    <w:rsid w:val="00BE7F33"/>
    <w:rsid w:val="00BF471C"/>
    <w:rsid w:val="00C00137"/>
    <w:rsid w:val="00C0107A"/>
    <w:rsid w:val="00C01AD2"/>
    <w:rsid w:val="00C034CF"/>
    <w:rsid w:val="00C060BE"/>
    <w:rsid w:val="00C25543"/>
    <w:rsid w:val="00C31419"/>
    <w:rsid w:val="00C36B90"/>
    <w:rsid w:val="00C44FC6"/>
    <w:rsid w:val="00C4505F"/>
    <w:rsid w:val="00C4619E"/>
    <w:rsid w:val="00C5222D"/>
    <w:rsid w:val="00C60082"/>
    <w:rsid w:val="00C62126"/>
    <w:rsid w:val="00C6388E"/>
    <w:rsid w:val="00C709B2"/>
    <w:rsid w:val="00C74043"/>
    <w:rsid w:val="00C74080"/>
    <w:rsid w:val="00C7601D"/>
    <w:rsid w:val="00C80813"/>
    <w:rsid w:val="00C80C64"/>
    <w:rsid w:val="00C846CE"/>
    <w:rsid w:val="00C956A2"/>
    <w:rsid w:val="00C95C0B"/>
    <w:rsid w:val="00C95DEA"/>
    <w:rsid w:val="00CA4055"/>
    <w:rsid w:val="00CA7E92"/>
    <w:rsid w:val="00CB2CCD"/>
    <w:rsid w:val="00CC33A4"/>
    <w:rsid w:val="00CC50C1"/>
    <w:rsid w:val="00CD02DD"/>
    <w:rsid w:val="00CD10A2"/>
    <w:rsid w:val="00CD78DC"/>
    <w:rsid w:val="00CF0A7B"/>
    <w:rsid w:val="00CF1780"/>
    <w:rsid w:val="00CF2C4D"/>
    <w:rsid w:val="00CF437C"/>
    <w:rsid w:val="00CF6F35"/>
    <w:rsid w:val="00D05DB5"/>
    <w:rsid w:val="00D171AC"/>
    <w:rsid w:val="00D17780"/>
    <w:rsid w:val="00D20DCE"/>
    <w:rsid w:val="00D212B2"/>
    <w:rsid w:val="00D21371"/>
    <w:rsid w:val="00D31540"/>
    <w:rsid w:val="00D32FDB"/>
    <w:rsid w:val="00D36798"/>
    <w:rsid w:val="00D42B73"/>
    <w:rsid w:val="00D5072B"/>
    <w:rsid w:val="00D54BD2"/>
    <w:rsid w:val="00D62141"/>
    <w:rsid w:val="00D64461"/>
    <w:rsid w:val="00D74478"/>
    <w:rsid w:val="00D82D1E"/>
    <w:rsid w:val="00DA722B"/>
    <w:rsid w:val="00DA7AF5"/>
    <w:rsid w:val="00DB5615"/>
    <w:rsid w:val="00DC09FB"/>
    <w:rsid w:val="00DC4477"/>
    <w:rsid w:val="00DE351C"/>
    <w:rsid w:val="00DE45B0"/>
    <w:rsid w:val="00DE69F2"/>
    <w:rsid w:val="00E03F8D"/>
    <w:rsid w:val="00E048B8"/>
    <w:rsid w:val="00E13A10"/>
    <w:rsid w:val="00E20F2E"/>
    <w:rsid w:val="00E31CD2"/>
    <w:rsid w:val="00E35EC7"/>
    <w:rsid w:val="00E3614F"/>
    <w:rsid w:val="00E434AB"/>
    <w:rsid w:val="00E438B5"/>
    <w:rsid w:val="00E452CD"/>
    <w:rsid w:val="00E5452F"/>
    <w:rsid w:val="00E60457"/>
    <w:rsid w:val="00E61F75"/>
    <w:rsid w:val="00E622BB"/>
    <w:rsid w:val="00E641C5"/>
    <w:rsid w:val="00E64A50"/>
    <w:rsid w:val="00E665E7"/>
    <w:rsid w:val="00E677BA"/>
    <w:rsid w:val="00E714CA"/>
    <w:rsid w:val="00E72155"/>
    <w:rsid w:val="00E758D8"/>
    <w:rsid w:val="00E75E97"/>
    <w:rsid w:val="00E76365"/>
    <w:rsid w:val="00E76634"/>
    <w:rsid w:val="00E77D5A"/>
    <w:rsid w:val="00E81FBB"/>
    <w:rsid w:val="00E8555B"/>
    <w:rsid w:val="00E909D9"/>
    <w:rsid w:val="00E957C0"/>
    <w:rsid w:val="00EA4A82"/>
    <w:rsid w:val="00EA6E5E"/>
    <w:rsid w:val="00EB58C8"/>
    <w:rsid w:val="00EC0AA1"/>
    <w:rsid w:val="00EC72CB"/>
    <w:rsid w:val="00ED1F6C"/>
    <w:rsid w:val="00ED21BA"/>
    <w:rsid w:val="00ED4F5B"/>
    <w:rsid w:val="00EF2136"/>
    <w:rsid w:val="00EF766F"/>
    <w:rsid w:val="00EF7769"/>
    <w:rsid w:val="00EF78F2"/>
    <w:rsid w:val="00F0255C"/>
    <w:rsid w:val="00F05780"/>
    <w:rsid w:val="00F057CA"/>
    <w:rsid w:val="00F07DD8"/>
    <w:rsid w:val="00F15662"/>
    <w:rsid w:val="00F16520"/>
    <w:rsid w:val="00F30F2B"/>
    <w:rsid w:val="00F51595"/>
    <w:rsid w:val="00F51B17"/>
    <w:rsid w:val="00F53F61"/>
    <w:rsid w:val="00F62793"/>
    <w:rsid w:val="00F66891"/>
    <w:rsid w:val="00F71EF1"/>
    <w:rsid w:val="00F8516D"/>
    <w:rsid w:val="00F97E87"/>
    <w:rsid w:val="00FA1B64"/>
    <w:rsid w:val="00FA3B10"/>
    <w:rsid w:val="00FB5DDA"/>
    <w:rsid w:val="00FB70A4"/>
    <w:rsid w:val="00FB79C1"/>
    <w:rsid w:val="00FD0795"/>
    <w:rsid w:val="00FD4268"/>
    <w:rsid w:val="00FD509C"/>
    <w:rsid w:val="00FD7E4A"/>
    <w:rsid w:val="00FE0368"/>
    <w:rsid w:val="00FE5B77"/>
    <w:rsid w:val="00FE62B3"/>
    <w:rsid w:val="00FF191A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4BF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4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B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Знак Char Char Char"/>
    <w:basedOn w:val="Normal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B64BF"/>
    <w:pPr>
      <w:spacing w:before="100" w:beforeAutospacing="1" w:after="100" w:afterAutospacing="1"/>
    </w:pPr>
  </w:style>
  <w:style w:type="paragraph" w:customStyle="1" w:styleId="Style7">
    <w:name w:val="Style7"/>
    <w:basedOn w:val="Normal"/>
    <w:rsid w:val="004B64BF"/>
    <w:pPr>
      <w:widowControl w:val="0"/>
      <w:autoSpaceDE w:val="0"/>
      <w:autoSpaceDN w:val="0"/>
      <w:adjustRightInd w:val="0"/>
      <w:spacing w:line="286" w:lineRule="exact"/>
      <w:ind w:hanging="362"/>
      <w:jc w:val="both"/>
    </w:pPr>
  </w:style>
  <w:style w:type="paragraph" w:customStyle="1" w:styleId="m">
    <w:name w:val="m"/>
    <w:basedOn w:val="Normal"/>
    <w:rsid w:val="004B64BF"/>
    <w:pPr>
      <w:spacing w:before="100" w:beforeAutospacing="1" w:after="100" w:afterAutospacing="1"/>
    </w:pPr>
  </w:style>
  <w:style w:type="paragraph" w:customStyle="1" w:styleId="a">
    <w:name w:val="Знак"/>
    <w:basedOn w:val="Normal"/>
    <w:link w:val="Char"/>
    <w:rsid w:val="004B64B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">
    <w:name w:val="Знак Char"/>
    <w:link w:val="a"/>
    <w:rsid w:val="004B64BF"/>
    <w:rPr>
      <w:rFonts w:ascii="Tahoma" w:hAnsi="Tahoma"/>
      <w:sz w:val="24"/>
      <w:szCs w:val="24"/>
      <w:lang w:val="pl-PL" w:eastAsia="pl-PL" w:bidi="ar-SA"/>
    </w:rPr>
  </w:style>
  <w:style w:type="table" w:styleId="TableGrid">
    <w:name w:val="Table Grid"/>
    <w:basedOn w:val="TableNormal"/>
    <w:rsid w:val="004B6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2">
    <w:name w:val="Table Style2"/>
    <w:basedOn w:val="TableNormal"/>
    <w:rsid w:val="004B64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5320E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320E3"/>
  </w:style>
  <w:style w:type="paragraph" w:styleId="Header">
    <w:name w:val="header"/>
    <w:basedOn w:val="Normal"/>
    <w:link w:val="HeaderChar"/>
    <w:uiPriority w:val="99"/>
    <w:rsid w:val="005320E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4C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3456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45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D6B4-0F05-4EC1-A6D9-D7621BB4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10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AP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g.dobreva</dc:creator>
  <cp:lastModifiedBy>Zoia Krasteva</cp:lastModifiedBy>
  <cp:revision>189</cp:revision>
  <cp:lastPrinted>2017-01-25T13:37:00Z</cp:lastPrinted>
  <dcterms:created xsi:type="dcterms:W3CDTF">2017-01-19T08:31:00Z</dcterms:created>
  <dcterms:modified xsi:type="dcterms:W3CDTF">2017-02-01T08:29:00Z</dcterms:modified>
</cp:coreProperties>
</file>