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9" w:rsidRPr="007D0551" w:rsidRDefault="00C409A9" w:rsidP="00154990">
      <w:pPr>
        <w:pStyle w:val="m"/>
        <w:spacing w:before="0" w:beforeAutospacing="0" w:after="0" w:afterAutospacing="0"/>
        <w:jc w:val="both"/>
        <w:rPr>
          <w:b/>
        </w:rPr>
      </w:pPr>
      <w:r w:rsidRPr="00154990">
        <w:rPr>
          <w:b/>
          <w:bCs/>
        </w:rPr>
        <w:t>Чл. 25</w:t>
      </w:r>
      <w:r w:rsidR="007D0551">
        <w:rPr>
          <w:b/>
          <w:bCs/>
        </w:rPr>
        <w:t xml:space="preserve"> от </w:t>
      </w:r>
      <w:r w:rsidR="00365C7E">
        <w:rPr>
          <w:b/>
          <w:bCs/>
        </w:rPr>
        <w:t xml:space="preserve">Устройствения </w:t>
      </w:r>
      <w:r w:rsidR="007D0551">
        <w:rPr>
          <w:b/>
          <w:bCs/>
        </w:rPr>
        <w:t xml:space="preserve">правилник на АППК – правомощия на </w:t>
      </w:r>
      <w:r w:rsidR="007D0551" w:rsidRPr="007D0551">
        <w:rPr>
          <w:b/>
        </w:rPr>
        <w:t>и</w:t>
      </w:r>
      <w:r w:rsidR="00365C7E">
        <w:rPr>
          <w:b/>
        </w:rPr>
        <w:t>зпълнителния</w:t>
      </w:r>
      <w:r w:rsidRPr="007D0551">
        <w:rPr>
          <w:b/>
        </w:rPr>
        <w:t xml:space="preserve"> директор: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1. организира разработването на политиката за участието на държавата в</w:t>
      </w:r>
      <w:r w:rsidR="003C0EED" w:rsidRPr="00154990">
        <w:t xml:space="preserve"> </w:t>
      </w:r>
      <w:r w:rsidR="003C0EED">
        <w:t xml:space="preserve">публичните </w:t>
      </w:r>
      <w:r w:rsidRPr="00154990">
        <w:t>предприятия, организира извършването на мониторинг на изпълнението на политиката и изготвянето на актуализация на политиката;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2. организира изготвянето на годишния обобщен доклад за предходната година за резултатите от дейността на държавните </w:t>
      </w:r>
      <w:r w:rsidR="003C0EED">
        <w:t>публични</w:t>
      </w:r>
      <w:r w:rsidRPr="00154990">
        <w:t> предприятия след решение на изпълнителния съвет и го представя на Министерския съвет;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3. контролира публикуването на актуална информация и отчети за дейността на </w:t>
      </w:r>
      <w:r w:rsidR="003C0EED">
        <w:t>публичните</w:t>
      </w:r>
      <w:r w:rsidRPr="00154990">
        <w:t> предприятия, включително финансова и нефинансова информация за предприятията;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4. организира извършването на мониторинг на конкурсните процедури за избор и назначаване на членове на органи за управление и контрол;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5. организира извършването на оценка на изпълнението на одобрените бизнес програми на </w:t>
      </w:r>
      <w:r w:rsidR="003C0EED">
        <w:t>публичните</w:t>
      </w:r>
      <w:r w:rsidRPr="00154990">
        <w:t> предприятия и подписва необходимите за това документи, съдържащи и предложения за подобряване управлението на конкретното </w:t>
      </w:r>
      <w:r w:rsidR="003C0EED">
        <w:t>публично</w:t>
      </w:r>
      <w:r w:rsidRPr="00154990">
        <w:t> предприятие, след решение на изпълнителния съвет;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6. при делегиране от Министерския съвет упражнява правата на държавата в </w:t>
      </w:r>
      <w:r w:rsidR="003C0EED">
        <w:t>публични</w:t>
      </w:r>
      <w:r w:rsidRPr="00154990">
        <w:t> предприятия;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7. подписва всички документи, които </w:t>
      </w:r>
      <w:r w:rsidR="00F907B0">
        <w:t>агенцията</w:t>
      </w:r>
      <w:r w:rsidRPr="00154990">
        <w:t> издава при осъществяване на функциите си по </w:t>
      </w:r>
      <w:hyperlink r:id="rId5" w:tgtFrame="_blank" w:history="1">
        <w:r w:rsidRPr="00154990">
          <w:rPr>
            <w:rStyle w:val="Hyperlink"/>
            <w:color w:val="auto"/>
            <w:u w:val="none"/>
          </w:rPr>
          <w:t>Закона за </w:t>
        </w:r>
        <w:r w:rsidR="003C0EED">
          <w:t>публичните</w:t>
        </w:r>
        <w:r w:rsidRPr="00154990">
          <w:rPr>
            <w:rStyle w:val="Hyperlink"/>
            <w:color w:val="auto"/>
            <w:u w:val="none"/>
          </w:rPr>
          <w:t> предприятия</w:t>
        </w:r>
      </w:hyperlink>
      <w:r w:rsidR="00F907B0">
        <w:t> и правилника</w:t>
      </w:r>
      <w:bookmarkStart w:id="0" w:name="_GoBack"/>
      <w:bookmarkEnd w:id="0"/>
      <w:r w:rsidRPr="00154990">
        <w:t> за прилагането му;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8. съгласува приватизационния процес с министрите и другите органи, упражняващи правата на собственост върху обектите, подлежащи на приватизация от компетентността на </w:t>
      </w:r>
      <w:r w:rsidR="00F907B0">
        <w:t>агенцията</w:t>
      </w:r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9. подписва договорите по приватизационни сделки;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10. извършва действия по прехвърляне на собствеността по сключени приватизационни сделки;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11. подписва договори по </w:t>
      </w:r>
      <w:hyperlink r:id="rId6" w:anchor="p41738669" w:tgtFrame="_blank" w:history="1">
        <w:r w:rsidRPr="00154990">
          <w:rPr>
            <w:rStyle w:val="Hyperlink"/>
            <w:color w:val="auto"/>
            <w:u w:val="none"/>
          </w:rPr>
          <w:t>чл. 5 от ЗПСК</w:t>
        </w:r>
      </w:hyperlink>
      <w:r w:rsidRPr="00154990">
        <w:t xml:space="preserve"> с инвестиционни </w:t>
      </w:r>
      <w:proofErr w:type="spellStart"/>
      <w:r w:rsidRPr="00154990">
        <w:t>посредници</w:t>
      </w:r>
      <w:proofErr w:type="spellEnd"/>
      <w:r w:rsidRPr="00154990">
        <w:t xml:space="preserve"> и с трети лица, на които е възложено извършването на експертни дейности, свързани с подготовката за приватизация или със следприватизационния контрол, включително процесуално представителство, или на дейности, свързани с функциите й по </w:t>
      </w:r>
      <w:hyperlink r:id="rId7" w:tgtFrame="_blank" w:history="1">
        <w:r w:rsidRPr="00154990">
          <w:rPr>
            <w:rStyle w:val="Hyperlink"/>
            <w:color w:val="auto"/>
            <w:u w:val="none"/>
          </w:rPr>
          <w:t>ЗПП</w:t>
        </w:r>
      </w:hyperlink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12. подписва споразумения или спогодби от името на </w:t>
      </w:r>
      <w:r w:rsidR="003C0EED">
        <w:t>агенцията</w:t>
      </w:r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13. внася за приемане от надзорния съвет отчета за дейността на </w:t>
      </w:r>
      <w:r w:rsidR="003C0EED">
        <w:t>агенцията</w:t>
      </w:r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14. определя длъжностните лица, които съставят актовете за нарушенията, посочени в глава девета "</w:t>
      </w:r>
      <w:proofErr w:type="spellStart"/>
      <w:r w:rsidRPr="00154990">
        <w:t>Административнонаказателни</w:t>
      </w:r>
      <w:proofErr w:type="spellEnd"/>
      <w:r w:rsidRPr="00154990">
        <w:t xml:space="preserve"> разпоредби" от </w:t>
      </w:r>
      <w:hyperlink r:id="rId8" w:tgtFrame="_blank" w:history="1">
        <w:r w:rsidRPr="00154990">
          <w:rPr>
            <w:rStyle w:val="Hyperlink"/>
            <w:color w:val="auto"/>
            <w:u w:val="none"/>
          </w:rPr>
          <w:t>ЗПСК</w:t>
        </w:r>
      </w:hyperlink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15. издава наказателни постановления по реда на глава девета "</w:t>
      </w:r>
      <w:proofErr w:type="spellStart"/>
      <w:r w:rsidRPr="00154990">
        <w:t>Административнонаказателни</w:t>
      </w:r>
      <w:proofErr w:type="spellEnd"/>
      <w:r w:rsidRPr="00154990">
        <w:t xml:space="preserve"> разпоредби" от </w:t>
      </w:r>
      <w:hyperlink r:id="rId9" w:tgtFrame="_blank" w:history="1">
        <w:r w:rsidRPr="00154990">
          <w:rPr>
            <w:rStyle w:val="Hyperlink"/>
            <w:color w:val="auto"/>
            <w:u w:val="none"/>
          </w:rPr>
          <w:t>ЗПСК</w:t>
        </w:r>
      </w:hyperlink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16. разрешава отпуските на служителите на </w:t>
      </w:r>
      <w:r w:rsidR="003C0EED">
        <w:t>агенцията</w:t>
      </w:r>
      <w:r w:rsidRPr="00154990">
        <w:t> с изключение на членовете на надзорния съвет и на заместник изпълнителните директори;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17. командирова служителите на </w:t>
      </w:r>
      <w:r w:rsidR="003C0EED">
        <w:t>агенцията</w:t>
      </w:r>
      <w:r w:rsidRPr="00154990">
        <w:t> с изключение на членовете на надзорния съвет;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18. сключва и прекратява служебните и трудовите правоотношения на служителите в </w:t>
      </w:r>
      <w:r w:rsidR="003C0EED">
        <w:t>агенцията</w:t>
      </w:r>
      <w:r w:rsidRPr="00154990">
        <w:t> с изключение на членовете на надзорния съвет и на заместник изпълнителните директори;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19. подписва заповедите за награждаване и за наказания на служителите в </w:t>
      </w:r>
      <w:r w:rsidR="003C0EED">
        <w:t>агенцията</w:t>
      </w:r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20. подписва изходящата от </w:t>
      </w:r>
      <w:r w:rsidR="003C0EED">
        <w:t>агенцията</w:t>
      </w:r>
      <w:r w:rsidRPr="00154990">
        <w:t> кореспонденция;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21. може да упълномощава длъжностни лица за изпълнение на конкретни задачи;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lastRenderedPageBreak/>
        <w:t xml:space="preserve">22. издава заповед, с която се определят документацията и/или информацията по неприключили приватизационни и/или административни процедури и дела, които не следва да се предоставят на други лица с изключение на служителите </w:t>
      </w:r>
      <w:r w:rsidR="003C0EED">
        <w:t>на агенцията</w:t>
      </w:r>
      <w:r w:rsidRPr="00154990">
        <w:t>, пряко ангажирани с подготовката на съответната приватизационна и/или административна процедура или дело;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23. утвърждава длъжностните хар</w:t>
      </w:r>
      <w:r w:rsidR="003C0EED">
        <w:t>актеристики на главния секретар на агенцията</w:t>
      </w:r>
      <w:r w:rsidRPr="00154990">
        <w:t>  и на служителите по трудово правоотношение;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24. утвърждава длъжностното разписание;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25. определя размера на основните месечни заплати и допълнителните възнаграждения на държавните служители и на служителите по трудово правоотношение;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26. изготвя и представя за одобряване от изпълнителния съвет на отчетните доклади за проверките на концесионните договори по </w:t>
      </w:r>
      <w:hyperlink r:id="rId10" w:anchor="p41738790" w:tgtFrame="_blank" w:history="1">
        <w:r w:rsidRPr="00154990">
          <w:rPr>
            <w:rStyle w:val="Hyperlink"/>
            <w:color w:val="auto"/>
            <w:u w:val="none"/>
          </w:rPr>
          <w:t>чл. 42, ал. 3 от Закона за концесиите</w:t>
        </w:r>
      </w:hyperlink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27. изготвя и представя за приемане от изпълнителния съвет обобщена информация за концесионните договори по </w:t>
      </w:r>
      <w:hyperlink r:id="rId11" w:anchor="p41738790" w:tgtFrame="_blank" w:history="1">
        <w:r w:rsidRPr="00154990">
          <w:rPr>
            <w:rStyle w:val="Hyperlink"/>
            <w:color w:val="auto"/>
            <w:u w:val="none"/>
          </w:rPr>
          <w:t>чл. 42, ал. 4 от Закона за концесиите</w:t>
        </w:r>
      </w:hyperlink>
      <w:r w:rsidRPr="00154990">
        <w:t> и я представя на Координационния съвет по </w:t>
      </w:r>
      <w:hyperlink r:id="rId12" w:anchor="p41738789" w:tgtFrame="_blank" w:history="1">
        <w:r w:rsidRPr="00154990">
          <w:rPr>
            <w:rStyle w:val="Hyperlink"/>
            <w:color w:val="auto"/>
            <w:u w:val="none"/>
          </w:rPr>
          <w:t>чл. 38, ал. 1 от Закона за концесиите</w:t>
        </w:r>
      </w:hyperlink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28. участва в работата на Координационния съвет по </w:t>
      </w:r>
      <w:hyperlink r:id="rId13" w:tgtFrame="_blank" w:history="1">
        <w:r w:rsidRPr="00154990">
          <w:rPr>
            <w:rStyle w:val="Hyperlink"/>
            <w:color w:val="auto"/>
            <w:u w:val="none"/>
          </w:rPr>
          <w:t>Закона за концесиите</w:t>
        </w:r>
      </w:hyperlink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29. подписва решения, договори и други документи, необходими за възлагането и провеждането на процедури по </w:t>
      </w:r>
      <w:hyperlink r:id="rId14" w:tgtFrame="_blank" w:history="1">
        <w:r w:rsidRPr="00154990">
          <w:rPr>
            <w:rStyle w:val="Hyperlink"/>
            <w:color w:val="auto"/>
            <w:u w:val="none"/>
          </w:rPr>
          <w:t>Закона за обществените поръчки</w:t>
        </w:r>
      </w:hyperlink>
      <w:r w:rsidRPr="00154990">
        <w:t>, след решение на изпълнителния съвет;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 xml:space="preserve">30. подписва заповеди за екипи и комисии във връзка с </w:t>
      </w:r>
      <w:r w:rsidR="00154990">
        <w:t>дейността на агенцията</w:t>
      </w:r>
      <w:r w:rsidRPr="00154990">
        <w:t>;</w:t>
      </w:r>
    </w:p>
    <w:p w:rsidR="00C409A9" w:rsidRPr="00154990" w:rsidRDefault="00C409A9" w:rsidP="00154990">
      <w:pPr>
        <w:pStyle w:val="NormalWeb"/>
        <w:spacing w:before="0" w:beforeAutospacing="0" w:after="0" w:afterAutospacing="0"/>
        <w:ind w:firstLine="990"/>
        <w:jc w:val="both"/>
      </w:pPr>
      <w:r w:rsidRPr="00154990">
        <w:t>31. изпълнява други функции, възложени му с нормативен акт.</w:t>
      </w:r>
    </w:p>
    <w:p w:rsidR="00530D70" w:rsidRPr="00154990" w:rsidRDefault="00530D70" w:rsidP="001549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D70" w:rsidRPr="0015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E"/>
    <w:rsid w:val="00154990"/>
    <w:rsid w:val="00365C7E"/>
    <w:rsid w:val="003C0EED"/>
    <w:rsid w:val="00530D70"/>
    <w:rsid w:val="007D0551"/>
    <w:rsid w:val="007D431E"/>
    <w:rsid w:val="00C409A9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C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40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C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40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9136&amp;b=0" TargetMode="External"/><Relationship Id="rId13" Type="http://schemas.openxmlformats.org/officeDocument/2006/relationships/hyperlink" Target="https://web.apis.bg/p.php?i=3237972&amp;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4154010&amp;b=0" TargetMode="External"/><Relationship Id="rId12" Type="http://schemas.openxmlformats.org/officeDocument/2006/relationships/hyperlink" Target="https://web.apis.bg/p.php?i=3237972&amp;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apis.bg/p.php?i=9136&amp;b=0" TargetMode="External"/><Relationship Id="rId11" Type="http://schemas.openxmlformats.org/officeDocument/2006/relationships/hyperlink" Target="https://web.apis.bg/p.php?i=3237972&amp;b=0" TargetMode="External"/><Relationship Id="rId5" Type="http://schemas.openxmlformats.org/officeDocument/2006/relationships/hyperlink" Target="https://web.apis.bg/p.php?i=4154010&amp;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.apis.bg/p.php?i=3237972&amp;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9136&amp;b=0" TargetMode="External"/><Relationship Id="rId14" Type="http://schemas.openxmlformats.org/officeDocument/2006/relationships/hyperlink" Target="https://web.apis.bg/p.php?i=2752471&amp;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Jordanov</dc:creator>
  <cp:keywords/>
  <dc:description/>
  <cp:lastModifiedBy>Rumen Jordanov</cp:lastModifiedBy>
  <cp:revision>7</cp:revision>
  <dcterms:created xsi:type="dcterms:W3CDTF">2021-11-17T08:34:00Z</dcterms:created>
  <dcterms:modified xsi:type="dcterms:W3CDTF">2021-12-03T13:09:00Z</dcterms:modified>
</cp:coreProperties>
</file>