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A6" w:rsidRDefault="00EC1319" w:rsidP="00293544">
      <w:pPr>
        <w:pStyle w:val="NoSpacing"/>
        <w:rPr>
          <w:rFonts w:asciiTheme="majorHAnsi" w:hAnsiTheme="majorHAnsi"/>
        </w:rPr>
      </w:pPr>
      <w:r w:rsidRPr="00EC1319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-358775</wp:posOffset>
            </wp:positionV>
            <wp:extent cx="5680710" cy="746760"/>
            <wp:effectExtent l="38100" t="0" r="15240" b="20574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1428"/>
                    <a:stretch/>
                  </pic:blipFill>
                  <pic:spPr bwMode="auto">
                    <a:xfrm>
                      <a:off x="0" y="0"/>
                      <a:ext cx="5680710" cy="7467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33AA6" w:rsidRPr="002E1DC0">
        <w:rPr>
          <w:rFonts w:asciiTheme="majorHAnsi" w:hAnsiTheme="majorHAnsi"/>
        </w:rPr>
        <w:tab/>
      </w:r>
    </w:p>
    <w:p w:rsidR="00EC1319" w:rsidRPr="002E1DC0" w:rsidRDefault="00EC1319" w:rsidP="00293544">
      <w:pPr>
        <w:pStyle w:val="NoSpacing"/>
        <w:rPr>
          <w:rFonts w:asciiTheme="majorHAnsi" w:hAnsiTheme="majorHAnsi"/>
        </w:rPr>
      </w:pPr>
    </w:p>
    <w:p w:rsidR="00EC1319" w:rsidRPr="009C06B8" w:rsidRDefault="00EC1319" w:rsidP="00EC131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9C06B8">
        <w:rPr>
          <w:b/>
          <w:sz w:val="28"/>
          <w:szCs w:val="28"/>
        </w:rPr>
        <w:t>ДОКЛАД  ЗА ДЕЙНОСТТА</w:t>
      </w:r>
    </w:p>
    <w:p w:rsidR="00EC1319" w:rsidRPr="009C06B8" w:rsidRDefault="00EC1319" w:rsidP="00EC1319">
      <w:pPr>
        <w:jc w:val="center"/>
        <w:rPr>
          <w:b/>
          <w:sz w:val="28"/>
          <w:szCs w:val="28"/>
        </w:rPr>
      </w:pPr>
    </w:p>
    <w:p w:rsidR="00EC1319" w:rsidRPr="009C06B8" w:rsidRDefault="00C40212" w:rsidP="00EC1319">
      <w:pPr>
        <w:jc w:val="center"/>
        <w:rPr>
          <w:b/>
          <w:sz w:val="28"/>
          <w:szCs w:val="28"/>
          <w:lang w:val="en-US"/>
        </w:rPr>
      </w:pPr>
      <w:r w:rsidRPr="009C06B8">
        <w:rPr>
          <w:b/>
          <w:sz w:val="28"/>
          <w:szCs w:val="28"/>
        </w:rPr>
        <w:t xml:space="preserve">на "ПРОИНВЕКС" ЕООД за </w:t>
      </w:r>
      <w:r w:rsidRPr="009C06B8">
        <w:rPr>
          <w:b/>
          <w:sz w:val="28"/>
          <w:szCs w:val="28"/>
          <w:lang w:val="en-US"/>
        </w:rPr>
        <w:t>I</w:t>
      </w:r>
      <w:r w:rsidRPr="009C06B8">
        <w:rPr>
          <w:b/>
          <w:sz w:val="28"/>
          <w:szCs w:val="28"/>
        </w:rPr>
        <w:t>-</w:t>
      </w:r>
      <w:r w:rsidR="008E6BF1">
        <w:rPr>
          <w:b/>
          <w:sz w:val="28"/>
          <w:szCs w:val="28"/>
        </w:rPr>
        <w:t>во тримесечие на 2020</w:t>
      </w:r>
      <w:r w:rsidR="00EC1319" w:rsidRPr="009C06B8">
        <w:rPr>
          <w:b/>
          <w:sz w:val="28"/>
          <w:szCs w:val="28"/>
        </w:rPr>
        <w:t xml:space="preserve"> година</w:t>
      </w:r>
    </w:p>
    <w:p w:rsidR="00EC1319" w:rsidRDefault="00EC1319" w:rsidP="00EC1319">
      <w:pPr>
        <w:jc w:val="center"/>
        <w:rPr>
          <w:b/>
          <w:lang w:val="en-US"/>
        </w:rPr>
      </w:pPr>
    </w:p>
    <w:p w:rsidR="00EC1319" w:rsidRDefault="00EC1319" w:rsidP="00EC1319">
      <w:pPr>
        <w:jc w:val="both"/>
        <w:outlineLvl w:val="0"/>
        <w:rPr>
          <w:b/>
        </w:rPr>
      </w:pPr>
      <w:r>
        <w:rPr>
          <w:b/>
        </w:rPr>
        <w:t>ОРГАНИЗАЦИОННА ФОРМА</w:t>
      </w:r>
    </w:p>
    <w:p w:rsidR="00EC1319" w:rsidRDefault="00EC1319" w:rsidP="00EC1319">
      <w:pPr>
        <w:jc w:val="both"/>
        <w:outlineLvl w:val="0"/>
        <w:rPr>
          <w:lang w:val="en-US"/>
        </w:rPr>
      </w:pPr>
      <w:r>
        <w:t>Фирма:</w:t>
      </w:r>
      <w:r>
        <w:tab/>
      </w:r>
      <w:r>
        <w:tab/>
      </w:r>
      <w:r>
        <w:tab/>
      </w:r>
      <w:r>
        <w:tab/>
        <w:t>„Проинвекс</w:t>
      </w:r>
      <w:r>
        <w:rPr>
          <w:b/>
        </w:rPr>
        <w:t>“</w:t>
      </w:r>
      <w:r>
        <w:t xml:space="preserve"> ЕООД</w:t>
      </w:r>
    </w:p>
    <w:p w:rsidR="00EC1319" w:rsidRDefault="00EC1319" w:rsidP="00EC1319">
      <w:pPr>
        <w:jc w:val="both"/>
        <w:rPr>
          <w:lang w:val="en-US"/>
        </w:rPr>
      </w:pPr>
      <w:r>
        <w:t>Седалище:</w:t>
      </w:r>
      <w:r>
        <w:tab/>
      </w:r>
      <w:r>
        <w:tab/>
      </w:r>
      <w:r>
        <w:tab/>
      </w:r>
      <w:r>
        <w:tab/>
        <w:t>гр. София, ул."Цветан Минков" №2</w:t>
      </w:r>
    </w:p>
    <w:p w:rsidR="00EC1319" w:rsidRDefault="00EC1319" w:rsidP="00EC1319">
      <w:pPr>
        <w:jc w:val="both"/>
        <w:rPr>
          <w:lang w:val="en-US"/>
        </w:rPr>
      </w:pPr>
      <w:r>
        <w:t>Адрес на управление:</w:t>
      </w:r>
      <w:r>
        <w:tab/>
      </w:r>
      <w:r>
        <w:tab/>
        <w:t>гр София, ул."Цветан Минков" №2</w:t>
      </w:r>
    </w:p>
    <w:p w:rsidR="00EC1319" w:rsidRDefault="00EC1319" w:rsidP="00EC1319">
      <w:pPr>
        <w:jc w:val="both"/>
        <w:rPr>
          <w:lang w:val="en-US"/>
        </w:rPr>
      </w:pPr>
      <w:r>
        <w:t xml:space="preserve">Телефон: </w:t>
      </w:r>
      <w:r>
        <w:tab/>
      </w:r>
      <w:r>
        <w:tab/>
      </w:r>
      <w:r>
        <w:tab/>
      </w:r>
      <w:r>
        <w:tab/>
        <w:t>02/9825368</w:t>
      </w:r>
    </w:p>
    <w:p w:rsidR="00EC1319" w:rsidRDefault="00EC1319" w:rsidP="00EC1319">
      <w:pPr>
        <w:jc w:val="both"/>
      </w:pPr>
      <w:r>
        <w:t>Предмет на дейност:</w:t>
      </w:r>
      <w:r>
        <w:tab/>
        <w:t xml:space="preserve"> инвестиране,проучване,проектиране,строителство и експлоатация на обществени, жилищни и специални сгради и съоръжения,спортно строителство,специализирани строителни услуги,търговия с недвижими имоти, производство и търговия със строителни материали, транспортни услуги и услуги със строителна техника, търговия в страната и чужбина, други дейности незабранени със закон</w:t>
      </w:r>
      <w:r>
        <w:tab/>
      </w:r>
    </w:p>
    <w:p w:rsidR="00EC1319" w:rsidRDefault="00EC1319" w:rsidP="00EC1319">
      <w:pPr>
        <w:jc w:val="both"/>
        <w:rPr>
          <w:lang w:val="en-US"/>
        </w:rPr>
      </w:pPr>
      <w:r>
        <w:t>Собственост:</w:t>
      </w:r>
      <w:r>
        <w:tab/>
      </w:r>
      <w:r>
        <w:tab/>
      </w:r>
      <w:r>
        <w:tab/>
      </w:r>
      <w:r>
        <w:tab/>
        <w:t xml:space="preserve">Дружеството е :  </w:t>
      </w:r>
      <w:r w:rsidR="00031878">
        <w:tab/>
      </w:r>
      <w:r>
        <w:t>100 % държавна собственост;</w:t>
      </w:r>
    </w:p>
    <w:p w:rsidR="00EC1319" w:rsidRDefault="00EC1319" w:rsidP="00EC1319">
      <w:pPr>
        <w:jc w:val="both"/>
      </w:pPr>
      <w:r>
        <w:t>Капитал:</w:t>
      </w:r>
      <w:r>
        <w:tab/>
      </w:r>
      <w:r>
        <w:tab/>
      </w:r>
      <w:r>
        <w:tab/>
      </w:r>
      <w:r>
        <w:tab/>
        <w:t>Д</w:t>
      </w:r>
      <w:r w:rsidR="00031878">
        <w:t xml:space="preserve">ружеството е с капитал         </w:t>
      </w:r>
      <w:r>
        <w:t xml:space="preserve">6 205 900лв. </w:t>
      </w:r>
    </w:p>
    <w:p w:rsidR="00EC1319" w:rsidRDefault="00EC1319" w:rsidP="00EC1319">
      <w:pPr>
        <w:ind w:left="3540" w:hanging="3540"/>
      </w:pPr>
      <w:r>
        <w:t>Регистрация</w:t>
      </w:r>
      <w:r>
        <w:tab/>
        <w:t>Вписано в СГС , фирмено отделение, гр.д.1845/17.05.1990г.</w:t>
      </w:r>
    </w:p>
    <w:p w:rsidR="00EC1319" w:rsidRDefault="00EC1319" w:rsidP="00EC1319">
      <w:pPr>
        <w:ind w:left="3540" w:hanging="3540"/>
        <w:jc w:val="both"/>
      </w:pPr>
      <w:r>
        <w:t>Органи на</w:t>
      </w:r>
      <w:r w:rsidR="009E209F">
        <w:t xml:space="preserve"> управление:</w:t>
      </w:r>
      <w:r w:rsidR="009E209F">
        <w:tab/>
        <w:t>Дружеството за 2020</w:t>
      </w:r>
      <w:r w:rsidR="009933A2">
        <w:t xml:space="preserve"> </w:t>
      </w:r>
      <w:r>
        <w:t>г е с Едностепенна форма на  управление и се представлява от Управител</w:t>
      </w:r>
    </w:p>
    <w:p w:rsidR="00EC1319" w:rsidRDefault="00EC1319" w:rsidP="00EC1319">
      <w:pPr>
        <w:jc w:val="both"/>
        <w:rPr>
          <w:lang w:val="en-US"/>
        </w:rPr>
      </w:pPr>
      <w:r>
        <w:t>Клонове:</w:t>
      </w:r>
      <w:r>
        <w:tab/>
      </w:r>
      <w:r>
        <w:tab/>
      </w:r>
      <w:r>
        <w:tab/>
      </w:r>
      <w:r>
        <w:tab/>
        <w:t xml:space="preserve">Дружеството </w:t>
      </w:r>
      <w:r>
        <w:rPr>
          <w:b/>
        </w:rPr>
        <w:t>няма</w:t>
      </w:r>
      <w:r>
        <w:t xml:space="preserve"> регистрирани клонове</w:t>
      </w:r>
    </w:p>
    <w:p w:rsidR="00EC1319" w:rsidRDefault="00EC1319" w:rsidP="00EC1319">
      <w:pPr>
        <w:jc w:val="both"/>
      </w:pPr>
      <w:r>
        <w:t>Свързани лица:</w:t>
      </w:r>
      <w:r>
        <w:tab/>
      </w:r>
      <w:r>
        <w:tab/>
      </w:r>
      <w:r>
        <w:tab/>
        <w:t xml:space="preserve">Дружеството </w:t>
      </w:r>
      <w:r>
        <w:rPr>
          <w:b/>
        </w:rPr>
        <w:t xml:space="preserve">няма </w:t>
      </w:r>
      <w:r>
        <w:t>свързани лица</w:t>
      </w:r>
    </w:p>
    <w:p w:rsidR="00EC1319" w:rsidRDefault="00EC1319" w:rsidP="00EC131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C1319" w:rsidRPr="001956E5" w:rsidRDefault="00EC1319" w:rsidP="00EC1319">
      <w:pPr>
        <w:jc w:val="both"/>
        <w:outlineLvl w:val="0"/>
        <w:rPr>
          <w:lang w:val="en-US"/>
        </w:rPr>
      </w:pPr>
      <w:r>
        <w:rPr>
          <w:b/>
        </w:rPr>
        <w:t>ХАРАКТЕРИСТИКА НА ДЕЙНОСТТА</w:t>
      </w:r>
    </w:p>
    <w:p w:rsidR="00EC1319" w:rsidRDefault="00C40212" w:rsidP="004D7636">
      <w:pPr>
        <w:pStyle w:val="NoSpacing"/>
      </w:pPr>
      <w:r>
        <w:t>Осъществява</w:t>
      </w:r>
      <w:r w:rsidR="00EC1319">
        <w:t>ната  от  дружеството основна дейност е:</w:t>
      </w:r>
    </w:p>
    <w:p w:rsidR="00EC1319" w:rsidRDefault="00EC1319" w:rsidP="00C40212">
      <w:pPr>
        <w:pStyle w:val="ListParagraph"/>
        <w:numPr>
          <w:ilvl w:val="0"/>
          <w:numId w:val="18"/>
        </w:numPr>
        <w:jc w:val="both"/>
      </w:pPr>
      <w:r>
        <w:t xml:space="preserve">отдаване под наем на недвижими имоти </w:t>
      </w:r>
    </w:p>
    <w:p w:rsidR="00EC1319" w:rsidRDefault="00EC1319" w:rsidP="00C40212">
      <w:pPr>
        <w:pStyle w:val="ListParagraph"/>
        <w:numPr>
          <w:ilvl w:val="0"/>
          <w:numId w:val="18"/>
        </w:numPr>
        <w:jc w:val="both"/>
      </w:pPr>
      <w:r>
        <w:t>поддръжка и ремонт на недвижими имоти</w:t>
      </w:r>
    </w:p>
    <w:p w:rsidR="00EC1319" w:rsidRDefault="00EC1319" w:rsidP="00C40212">
      <w:pPr>
        <w:pStyle w:val="ListParagraph"/>
        <w:numPr>
          <w:ilvl w:val="0"/>
          <w:numId w:val="18"/>
        </w:numPr>
        <w:jc w:val="both"/>
      </w:pPr>
      <w:r>
        <w:t>продажба на недвижими имоти и други активи</w:t>
      </w:r>
    </w:p>
    <w:p w:rsidR="00EC1319" w:rsidRDefault="00EC1319" w:rsidP="006D3E76">
      <w:pPr>
        <w:ind w:right="30"/>
        <w:jc w:val="both"/>
      </w:pPr>
      <w:r>
        <w:lastRenderedPageBreak/>
        <w:t>При</w:t>
      </w:r>
      <w:r w:rsidR="006D3E76">
        <w:t xml:space="preserve"> осъществяване на дейността си </w:t>
      </w:r>
      <w:r w:rsidR="001228B4">
        <w:t>д</w:t>
      </w:r>
      <w:r>
        <w:t>ружеството е изложено на определени рискове, които оказват въздействие върху неговите резултати.</w:t>
      </w:r>
    </w:p>
    <w:p w:rsidR="00EC1319" w:rsidRPr="000512C8" w:rsidRDefault="00EC1319" w:rsidP="006D3E76">
      <w:pPr>
        <w:ind w:right="30"/>
        <w:jc w:val="both"/>
        <w:rPr>
          <w:lang w:val="en-US"/>
        </w:rPr>
      </w:pPr>
      <w:r>
        <w:rPr>
          <w:i/>
        </w:rPr>
        <w:t>Систематични рискове</w:t>
      </w:r>
    </w:p>
    <w:p w:rsidR="00EC1319" w:rsidRDefault="00EC1319" w:rsidP="006D3E76">
      <w:pPr>
        <w:ind w:right="30"/>
        <w:jc w:val="both"/>
        <w:outlineLvl w:val="0"/>
      </w:pPr>
      <w:r>
        <w:rPr>
          <w:b/>
        </w:rPr>
        <w:t>Политически риск</w:t>
      </w:r>
    </w:p>
    <w:p w:rsidR="00EC1319" w:rsidRDefault="00EC1319" w:rsidP="006D3E76">
      <w:pPr>
        <w:ind w:right="30"/>
        <w:jc w:val="both"/>
      </w:pPr>
      <w:r>
        <w:t>Политическият риск отразява влиянието на политическия процес в страната, който от своя страна влияе върху възвръщаемостта на инвестициите. Определящ фактор, оказващ влияние върху дейността на даден отрасъл и респективно дейността на фирмата</w:t>
      </w:r>
      <w:r w:rsidR="00C50E6A">
        <w:t>,</w:t>
      </w:r>
      <w:r>
        <w:t xml:space="preserve"> е формулираната от правителството дългосрочна икономическа програма, както и волята да се осъществяват набелязаните приоритетни стъпки. Степента на политическия риск се асоциира с вероятността  за промени  в неблагоприятна посока на водената от правителството икономическа по</w:t>
      </w:r>
      <w:r w:rsidR="00C50E6A">
        <w:t xml:space="preserve">литика и като следствие от това – </w:t>
      </w:r>
      <w:r>
        <w:t>опасността от негативни промени в инвестиционния климат.</w:t>
      </w:r>
    </w:p>
    <w:p w:rsidR="00EC1319" w:rsidRDefault="00EC1319" w:rsidP="00C50E6A">
      <w:pPr>
        <w:ind w:right="30"/>
        <w:jc w:val="both"/>
      </w:pPr>
      <w:r>
        <w:t>Членството на България в Европейския съюз е друг основен фактор, който гарантира минимизирането на политическия риск. Наличието на политически консенсус по въпроса за доближаване на националното законодателство до това на страните от Европейския  съюз, както и приемането от страна на България на редица международни ангажименти</w:t>
      </w:r>
      <w:r w:rsidR="00C50E6A">
        <w:t>,</w:t>
      </w:r>
      <w:r>
        <w:t xml:space="preserve"> действат също в посока на намаление на политическия риск.</w:t>
      </w:r>
    </w:p>
    <w:p w:rsidR="00C50E6A" w:rsidRDefault="00EC1319" w:rsidP="006D3E76">
      <w:pPr>
        <w:ind w:right="30"/>
        <w:jc w:val="both"/>
      </w:pPr>
      <w:r>
        <w:t xml:space="preserve">България е силно свързана с европейската и световната икономика и ефектът </w:t>
      </w:r>
      <w:r w:rsidR="00C50E6A">
        <w:t xml:space="preserve">от случващото се там неминуемо ѝ влияе. За България </w:t>
      </w:r>
      <w:r>
        <w:t>в условията на международна нестабилност, политическият риск зависи от мерките, които правителството  ще предприеме за ограничаване  на негативните ефекти от кризата.</w:t>
      </w:r>
    </w:p>
    <w:p w:rsidR="00EC1319" w:rsidRPr="00C50E6A" w:rsidRDefault="00EC1319" w:rsidP="006D3E76">
      <w:pPr>
        <w:ind w:right="30"/>
        <w:jc w:val="both"/>
      </w:pPr>
      <w:r>
        <w:rPr>
          <w:i/>
        </w:rPr>
        <w:t>На баз</w:t>
      </w:r>
      <w:r w:rsidR="00C50E6A">
        <w:rPr>
          <w:i/>
        </w:rPr>
        <w:t>а посоченото и познаването на п</w:t>
      </w:r>
      <w:r>
        <w:rPr>
          <w:i/>
        </w:rPr>
        <w:t xml:space="preserve">олитическата среда в страната в момента на изготвянето на настоящия доклад оценямаме политическия риск като:  </w:t>
      </w:r>
      <w:r>
        <w:rPr>
          <w:b/>
          <w:i/>
        </w:rPr>
        <w:t>без риск.</w:t>
      </w:r>
    </w:p>
    <w:p w:rsidR="00EC1319" w:rsidRPr="001228B4" w:rsidRDefault="00EC1319" w:rsidP="006D3E76">
      <w:pPr>
        <w:ind w:right="30"/>
        <w:jc w:val="both"/>
        <w:outlineLvl w:val="0"/>
        <w:rPr>
          <w:b/>
        </w:rPr>
      </w:pPr>
      <w:r w:rsidRPr="001228B4">
        <w:rPr>
          <w:b/>
        </w:rPr>
        <w:t>Макроикономически рискове</w:t>
      </w:r>
    </w:p>
    <w:p w:rsidR="00EC1319" w:rsidRPr="001228B4" w:rsidRDefault="00EC1319" w:rsidP="006D3E76">
      <w:pPr>
        <w:ind w:right="30"/>
        <w:jc w:val="both"/>
        <w:outlineLvl w:val="0"/>
        <w:rPr>
          <w:b/>
          <w:i/>
        </w:rPr>
      </w:pPr>
      <w:r w:rsidRPr="001228B4">
        <w:rPr>
          <w:b/>
          <w:i/>
        </w:rPr>
        <w:t>Валутен риск</w:t>
      </w:r>
    </w:p>
    <w:p w:rsidR="00EC1319" w:rsidRDefault="00EC1319" w:rsidP="006D3E76">
      <w:pPr>
        <w:ind w:right="30"/>
        <w:jc w:val="both"/>
      </w:pPr>
      <w:r>
        <w:t>Валутният риск обобщава възможните негативни импликации върху възвръщаемостта на инвестициите в страната, вследствие на промяна на валутния курс. В малка страна със силно отворена икономика, каквато е България, нестабилността на местната валута е в състояние да индуцира много лесно обща иконом</w:t>
      </w:r>
      <w:r w:rsidR="00C50E6A">
        <w:t xml:space="preserve">ическа нестабилност и обратното – </w:t>
      </w:r>
      <w:r>
        <w:t xml:space="preserve"> стабилността  на националн</w:t>
      </w:r>
      <w:r w:rsidR="00C50E6A">
        <w:t xml:space="preserve">ата валута може да се окаже най – </w:t>
      </w:r>
      <w:r>
        <w:t>ефективата макроикономическа „котва” на стабилността.</w:t>
      </w:r>
      <w:r w:rsidR="00C50E6A">
        <w:t xml:space="preserve"> </w:t>
      </w:r>
      <w:r>
        <w:t>През последните години България натрупа опит и в двете посоки на влияние на валутните курсове.</w:t>
      </w:r>
    </w:p>
    <w:p w:rsidR="00EC1319" w:rsidRDefault="00EC1319" w:rsidP="006D3E76">
      <w:pPr>
        <w:ind w:right="30"/>
        <w:jc w:val="both"/>
      </w:pPr>
      <w:r>
        <w:t>При въвеждането на системата на паричен съвет в страната на 01.07.1997 г обменния</w:t>
      </w:r>
      <w:r w:rsidR="00C50E6A">
        <w:t xml:space="preserve">т курс български лев – </w:t>
      </w:r>
      <w:r>
        <w:t>германска марка бе фиксиран в съотношение 1000:1. Въвеждането на еврото като разплащателна еденица в Европейския съюз доведе до практически фиксиран обменен курс 1.95583 лева за едно евро. Следователно валутният риск за базиран за еврото инвеститор е практически сведен до нула.</w:t>
      </w:r>
    </w:p>
    <w:p w:rsidR="00EC1319" w:rsidRDefault="00EC1319" w:rsidP="006D3E76">
      <w:pPr>
        <w:ind w:right="30"/>
        <w:jc w:val="both"/>
        <w:rPr>
          <w:b/>
          <w:i/>
        </w:rPr>
      </w:pPr>
      <w:r>
        <w:rPr>
          <w:i/>
        </w:rPr>
        <w:lastRenderedPageBreak/>
        <w:t xml:space="preserve">На база посоченото и познаването на икономическата среда в страната в момента на изготвянето на настоящия доклад оценяваме валутния риск като: </w:t>
      </w:r>
      <w:r>
        <w:rPr>
          <w:b/>
          <w:i/>
        </w:rPr>
        <w:t>без риск.</w:t>
      </w:r>
    </w:p>
    <w:p w:rsidR="00EC1319" w:rsidRPr="001228B4" w:rsidRDefault="00EC1319" w:rsidP="006D3E76">
      <w:pPr>
        <w:ind w:right="30"/>
        <w:jc w:val="both"/>
        <w:outlineLvl w:val="0"/>
        <w:rPr>
          <w:b/>
          <w:i/>
        </w:rPr>
      </w:pPr>
      <w:r w:rsidRPr="001228B4">
        <w:rPr>
          <w:b/>
          <w:i/>
        </w:rPr>
        <w:t>Инфлационен риск</w:t>
      </w:r>
    </w:p>
    <w:p w:rsidR="00EC1319" w:rsidRDefault="00EC1319" w:rsidP="006D3E76">
      <w:pPr>
        <w:ind w:right="30"/>
        <w:jc w:val="both"/>
      </w:pPr>
      <w:r>
        <w:t>Инфлацията в страната е важен фактор</w:t>
      </w:r>
      <w:r>
        <w:rPr>
          <w:b/>
        </w:rPr>
        <w:t xml:space="preserve">, </w:t>
      </w:r>
      <w:r>
        <w:t>касаещ реалната възвращаемост на инвестицията.</w:t>
      </w:r>
    </w:p>
    <w:p w:rsidR="00E5478E" w:rsidRDefault="00E5478E" w:rsidP="00E5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30"/>
        <w:jc w:val="both"/>
        <w:outlineLvl w:val="0"/>
      </w:pPr>
      <w:r>
        <w:t xml:space="preserve">                                        Средногодишна инфлация</w:t>
      </w:r>
    </w:p>
    <w:p w:rsidR="00E5478E" w:rsidRPr="00B10E35" w:rsidRDefault="00E5478E" w:rsidP="00E5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30"/>
        <w:jc w:val="both"/>
      </w:pPr>
      <w:r>
        <w:t>2010 г.   2011 г       2012 г.</w:t>
      </w:r>
      <w:r>
        <w:tab/>
        <w:t xml:space="preserve">     2013г.</w:t>
      </w:r>
      <w:r>
        <w:tab/>
        <w:t xml:space="preserve"> 2014 г        2015 г     2016 г      2017 г     2018 г</w:t>
      </w:r>
    </w:p>
    <w:p w:rsidR="00E5478E" w:rsidRPr="00066B96" w:rsidRDefault="00E5478E" w:rsidP="00E5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30"/>
        <w:jc w:val="both"/>
      </w:pPr>
      <w:r>
        <w:t xml:space="preserve"> 2.4%       4.2%        3.00%</w:t>
      </w:r>
      <w:r>
        <w:rPr>
          <w:lang w:val="en-US"/>
        </w:rPr>
        <w:t xml:space="preserve">    </w:t>
      </w:r>
      <w:r>
        <w:t xml:space="preserve">   </w:t>
      </w:r>
      <w:r>
        <w:rPr>
          <w:lang w:val="en-US"/>
        </w:rPr>
        <w:t xml:space="preserve">   </w:t>
      </w:r>
      <w:r>
        <w:t>0.9</w:t>
      </w:r>
      <w:r>
        <w:rPr>
          <w:lang w:val="en-US"/>
        </w:rPr>
        <w:t xml:space="preserve"> %</w:t>
      </w:r>
      <w:r>
        <w:tab/>
        <w:t xml:space="preserve">  1.4%          0.1 %      -0.8%       1.7%</w:t>
      </w:r>
      <w:r w:rsidRPr="00367D31">
        <w:t xml:space="preserve">      </w:t>
      </w:r>
      <w:r>
        <w:t xml:space="preserve"> </w:t>
      </w:r>
      <w:r w:rsidRPr="00367D31">
        <w:t>3.3%</w:t>
      </w:r>
    </w:p>
    <w:p w:rsidR="00EC1319" w:rsidRDefault="00EC1319" w:rsidP="00EC1319">
      <w:pPr>
        <w:jc w:val="both"/>
        <w:rPr>
          <w:lang w:val="en-US"/>
        </w:rPr>
      </w:pPr>
      <w:r>
        <w:t>Поместените в таблицата данни илюстрират стабилизиращото влияние по отношение на инфлационните процеси на въведената в България на 01.07.1997 г. система на паричен съвет.</w:t>
      </w:r>
    </w:p>
    <w:p w:rsidR="00EC1319" w:rsidRDefault="00EC1319" w:rsidP="00EC1319">
      <w:pPr>
        <w:jc w:val="both"/>
      </w:pPr>
      <w:r>
        <w:t>Според анализатори, икономиката на България все още се бори с последиците от световната икономическа криза и нестабилния курс на Еврото спрямо Щатския долар. Тези фактори</w:t>
      </w:r>
      <w:r w:rsidR="00C50E6A">
        <w:t>,</w:t>
      </w:r>
      <w:r>
        <w:t xml:space="preserve"> съчетани с продължаващата икономическа криза в съседна Гърция,</w:t>
      </w:r>
      <w:r w:rsidR="00C50E6A">
        <w:t xml:space="preserve"> която има сериозен дял в нашия</w:t>
      </w:r>
      <w:r>
        <w:t xml:space="preserve"> банков сектор, са източници </w:t>
      </w:r>
      <w:r w:rsidR="00C50E6A">
        <w:t>н</w:t>
      </w:r>
      <w:r>
        <w:t>а несигурност и нестабилност, поради което е рано да се говори за очакван съществен икономически растеж.</w:t>
      </w:r>
    </w:p>
    <w:p w:rsidR="00EC1319" w:rsidRDefault="00C50E6A" w:rsidP="001228B4">
      <w:pPr>
        <w:ind w:right="30"/>
        <w:jc w:val="both"/>
        <w:rPr>
          <w:b/>
          <w:i/>
        </w:rPr>
      </w:pPr>
      <w:r>
        <w:rPr>
          <w:i/>
        </w:rPr>
        <w:t xml:space="preserve">На база посоченото по – </w:t>
      </w:r>
      <w:r w:rsidR="00EC1319">
        <w:rPr>
          <w:i/>
        </w:rPr>
        <w:t xml:space="preserve">горе и правителствената прогноза за намаляване на инфлацията през следващата година, към  момента на изготвянето на настоящия доклад оценяваме инфлационния  риск като: </w:t>
      </w:r>
      <w:r w:rsidR="00EC1319">
        <w:rPr>
          <w:b/>
          <w:i/>
        </w:rPr>
        <w:t>среден риск.</w:t>
      </w:r>
    </w:p>
    <w:p w:rsidR="00EC1319" w:rsidRPr="001228B4" w:rsidRDefault="00EC1319" w:rsidP="00EC1319">
      <w:pPr>
        <w:jc w:val="both"/>
        <w:outlineLvl w:val="0"/>
        <w:rPr>
          <w:i/>
        </w:rPr>
      </w:pPr>
      <w:r w:rsidRPr="001228B4">
        <w:rPr>
          <w:b/>
          <w:i/>
        </w:rPr>
        <w:t>Риск от лицензионни режими</w:t>
      </w:r>
    </w:p>
    <w:p w:rsidR="00EC1319" w:rsidRDefault="00EC1319" w:rsidP="00EC1319">
      <w:pPr>
        <w:jc w:val="both"/>
      </w:pPr>
      <w:r>
        <w:t>Общия</w:t>
      </w:r>
      <w:r w:rsidR="00C50E6A">
        <w:t>т</w:t>
      </w:r>
      <w:r>
        <w:t xml:space="preserve"> брой на лицензионните и разрешителни режими в България е значителен. </w:t>
      </w:r>
      <w:r w:rsidR="00C50E6A">
        <w:t>Те представляват огромно бреме з</w:t>
      </w:r>
      <w:r>
        <w:t>а бизнеса, както и всички наредби, измислени от държавните и местните органи на управление, които на практика действат като лицензионни и разрешителни режими. Може да се каже, че по този въпрос има движение в правилната посока, но то е бавно. Правителството е предприело политика по намаляване броя на лицензиите и разрешителните и опростяване на тези</w:t>
      </w:r>
      <w:r w:rsidR="001228B4">
        <w:t>,</w:t>
      </w:r>
      <w:r>
        <w:t xml:space="preserve"> които остават в сила.</w:t>
      </w:r>
    </w:p>
    <w:p w:rsidR="00EC1319" w:rsidRDefault="00EC1319" w:rsidP="00EC1319">
      <w:pPr>
        <w:jc w:val="both"/>
        <w:outlineLvl w:val="0"/>
      </w:pPr>
      <w:r>
        <w:t xml:space="preserve">Дейността на дружеството </w:t>
      </w:r>
      <w:r>
        <w:rPr>
          <w:b/>
        </w:rPr>
        <w:t>не е</w:t>
      </w:r>
      <w:r>
        <w:t xml:space="preserve"> свързана с лицензионни и разрешителни режими</w:t>
      </w:r>
    </w:p>
    <w:p w:rsidR="00EC1319" w:rsidRDefault="00EC1319" w:rsidP="00EC1319">
      <w:pPr>
        <w:jc w:val="both"/>
        <w:rPr>
          <w:b/>
          <w:i/>
        </w:rPr>
      </w:pPr>
      <w:r>
        <w:rPr>
          <w:i/>
        </w:rPr>
        <w:t>На база посоченото</w:t>
      </w:r>
      <w:r w:rsidR="001228B4">
        <w:rPr>
          <w:i/>
        </w:rPr>
        <w:t xml:space="preserve"> по – </w:t>
      </w:r>
      <w:r>
        <w:rPr>
          <w:i/>
        </w:rPr>
        <w:t>горе и познаване на регулативната среда към  момента на изготвянето на настоящия доклад оценяваме риска от лицензионни режим</w:t>
      </w:r>
      <w:r w:rsidR="001228B4">
        <w:rPr>
          <w:i/>
        </w:rPr>
        <w:t>и</w:t>
      </w:r>
      <w:r>
        <w:rPr>
          <w:i/>
        </w:rPr>
        <w:t xml:space="preserve"> като: </w:t>
      </w:r>
      <w:r>
        <w:rPr>
          <w:b/>
          <w:i/>
        </w:rPr>
        <w:t>без риск</w:t>
      </w:r>
    </w:p>
    <w:p w:rsidR="00EC1319" w:rsidRPr="001228B4" w:rsidRDefault="00EC1319" w:rsidP="00EC1319">
      <w:pPr>
        <w:jc w:val="both"/>
        <w:outlineLvl w:val="0"/>
        <w:rPr>
          <w:b/>
        </w:rPr>
      </w:pPr>
      <w:r w:rsidRPr="001228B4">
        <w:rPr>
          <w:b/>
        </w:rPr>
        <w:t>Несистематични</w:t>
      </w:r>
      <w:r w:rsidR="001228B4" w:rsidRPr="001228B4">
        <w:rPr>
          <w:b/>
        </w:rPr>
        <w:t xml:space="preserve"> </w:t>
      </w:r>
      <w:r w:rsidRPr="001228B4">
        <w:rPr>
          <w:b/>
        </w:rPr>
        <w:t>/микроикономически/ рискове</w:t>
      </w:r>
    </w:p>
    <w:p w:rsidR="00EC1319" w:rsidRDefault="00EC1319" w:rsidP="00EC1319">
      <w:pPr>
        <w:jc w:val="both"/>
      </w:pPr>
      <w:r>
        <w:t>Традиционно несистемните рискове се разглеждат на две нива – отраслов риск, касаещ несигурностите в развитие на отрасъла ни</w:t>
      </w:r>
      <w:r w:rsidR="001228B4">
        <w:t>,</w:t>
      </w:r>
      <w:r>
        <w:t xml:space="preserve"> и общ фирмен риск, произтичащ от спецификата на дружеството ни.</w:t>
      </w:r>
    </w:p>
    <w:p w:rsidR="00EC1319" w:rsidRDefault="00EC1319" w:rsidP="00EC1319">
      <w:pPr>
        <w:jc w:val="both"/>
        <w:outlineLvl w:val="0"/>
        <w:rPr>
          <w:b/>
          <w:i/>
        </w:rPr>
      </w:pPr>
      <w:r>
        <w:rPr>
          <w:b/>
          <w:i/>
        </w:rPr>
        <w:t>Отраслов риск</w:t>
      </w:r>
    </w:p>
    <w:p w:rsidR="00EC1319" w:rsidRDefault="00EC1319" w:rsidP="00EC1319">
      <w:pPr>
        <w:jc w:val="both"/>
      </w:pPr>
      <w:r>
        <w:lastRenderedPageBreak/>
        <w:t>Отрасловият риск се проявява от негативни тенденции в развитието на отрасъла като цяло, технологична обезпеченост, нормативна база, конкурентна среда характеристиката   на  пазарната среда за продуктите и суровините употребявани в отрасъла; отрасловия</w:t>
      </w:r>
      <w:r w:rsidR="001228B4">
        <w:t>т</w:t>
      </w:r>
      <w:r>
        <w:t xml:space="preserve"> риск се свързва преди всичко с отражението  върху възможността за реализиране на дох</w:t>
      </w:r>
      <w:r w:rsidR="001228B4">
        <w:t xml:space="preserve">оди в  рамките на отрасъла и по – </w:t>
      </w:r>
      <w:r>
        <w:t>конкретно на технологичните промени или измененията в специфичната нормативна база.</w:t>
      </w:r>
    </w:p>
    <w:p w:rsidR="00EC1319" w:rsidRDefault="00EC1319" w:rsidP="00EC1319">
      <w:pPr>
        <w:jc w:val="both"/>
        <w:rPr>
          <w:b/>
          <w:i/>
        </w:rPr>
      </w:pPr>
      <w:r>
        <w:rPr>
          <w:i/>
        </w:rPr>
        <w:t>На база посоченото по-горе и спецификата на отрасъла ни  момента на изготвянето на настоящия доклад оценяваме отрасловия   риск като:</w:t>
      </w:r>
      <w:r w:rsidR="001228B4">
        <w:rPr>
          <w:i/>
        </w:rPr>
        <w:t xml:space="preserve"> </w:t>
      </w:r>
      <w:r>
        <w:rPr>
          <w:b/>
          <w:i/>
        </w:rPr>
        <w:t>среден риск</w:t>
      </w:r>
    </w:p>
    <w:p w:rsidR="00EC1319" w:rsidRDefault="00EC1319" w:rsidP="00EC1319">
      <w:pPr>
        <w:jc w:val="both"/>
        <w:outlineLvl w:val="0"/>
        <w:rPr>
          <w:b/>
          <w:i/>
        </w:rPr>
      </w:pPr>
      <w:r>
        <w:rPr>
          <w:b/>
          <w:i/>
        </w:rPr>
        <w:t>Технологичен риск</w:t>
      </w:r>
    </w:p>
    <w:p w:rsidR="00EC1319" w:rsidRDefault="00EC1319" w:rsidP="00EC1319">
      <w:pPr>
        <w:jc w:val="both"/>
      </w:pPr>
      <w:r>
        <w:t>Технологичният риск е производен от необходимите технологии за обслужване на дейността и от скоростта, с които те се развиват.</w:t>
      </w:r>
    </w:p>
    <w:p w:rsidR="00EC1319" w:rsidRDefault="00EC1319" w:rsidP="00EC1319">
      <w:pPr>
        <w:jc w:val="both"/>
        <w:rPr>
          <w:b/>
          <w:i/>
        </w:rPr>
      </w:pPr>
      <w:r>
        <w:rPr>
          <w:i/>
        </w:rPr>
        <w:t>На база използваните от дружеството ни техлологии и познаването на технологичните тенден</w:t>
      </w:r>
      <w:r w:rsidR="001228B4">
        <w:rPr>
          <w:i/>
        </w:rPr>
        <w:t xml:space="preserve">ции на развитие в бранша, към </w:t>
      </w:r>
      <w:r>
        <w:rPr>
          <w:i/>
        </w:rPr>
        <w:t>момента на изготвянето на настоящия д</w:t>
      </w:r>
      <w:r w:rsidR="001228B4">
        <w:rPr>
          <w:i/>
        </w:rPr>
        <w:t xml:space="preserve">оклад оценяваме технологичния </w:t>
      </w:r>
      <w:r>
        <w:rPr>
          <w:i/>
        </w:rPr>
        <w:t>риск като:</w:t>
      </w:r>
      <w:r w:rsidR="001228B4">
        <w:rPr>
          <w:i/>
        </w:rPr>
        <w:t xml:space="preserve"> </w:t>
      </w:r>
      <w:r>
        <w:rPr>
          <w:b/>
          <w:i/>
        </w:rPr>
        <w:t>нисък риск.</w:t>
      </w:r>
    </w:p>
    <w:p w:rsidR="00EC1319" w:rsidRDefault="00EC1319" w:rsidP="00EC1319">
      <w:pPr>
        <w:jc w:val="both"/>
        <w:outlineLvl w:val="0"/>
        <w:rPr>
          <w:b/>
          <w:i/>
        </w:rPr>
      </w:pPr>
      <w:r>
        <w:rPr>
          <w:b/>
          <w:i/>
        </w:rPr>
        <w:t>Фирмен риск</w:t>
      </w:r>
    </w:p>
    <w:p w:rsidR="00EC1319" w:rsidRDefault="00EC1319" w:rsidP="00EC1319">
      <w:pPr>
        <w:jc w:val="both"/>
        <w:rPr>
          <w:b/>
        </w:rPr>
      </w:pPr>
      <w:r>
        <w:t>Свързан е с характера на основната дейност на дружеството, с технологията и организацията на дейността, както и с обезпечаване на дружеството с финансови ресурси. Подкатегории на фирмения риск са: бизнес риск и финансов риск. Основният фирмен риск е свързан със способността на дружеството да генерира приходи, а оттам и печалба.</w:t>
      </w:r>
    </w:p>
    <w:p w:rsidR="00EC1319" w:rsidRDefault="00EC1319" w:rsidP="001228B4">
      <w:pPr>
        <w:ind w:right="30"/>
        <w:jc w:val="both"/>
        <w:rPr>
          <w:b/>
          <w:i/>
        </w:rPr>
      </w:pPr>
      <w:r>
        <w:rPr>
          <w:i/>
        </w:rPr>
        <w:t>На база посоченото по</w:t>
      </w:r>
      <w:r w:rsidR="001228B4">
        <w:rPr>
          <w:i/>
        </w:rPr>
        <w:t xml:space="preserve"> - </w:t>
      </w:r>
      <w:r>
        <w:rPr>
          <w:i/>
        </w:rPr>
        <w:t xml:space="preserve">горе и спецификата на дейността ни  към   момента на изготвянето на настоящия доклад оценяваме фирмения   риск като: </w:t>
      </w:r>
      <w:r>
        <w:rPr>
          <w:b/>
          <w:i/>
        </w:rPr>
        <w:t>среден риск</w:t>
      </w:r>
    </w:p>
    <w:p w:rsidR="00EC1319" w:rsidRDefault="00EC1319" w:rsidP="00EC1319">
      <w:pPr>
        <w:jc w:val="both"/>
        <w:outlineLvl w:val="0"/>
        <w:rPr>
          <w:b/>
          <w:i/>
          <w:lang w:val="en-US"/>
        </w:rPr>
      </w:pPr>
      <w:r>
        <w:rPr>
          <w:b/>
          <w:i/>
        </w:rPr>
        <w:t xml:space="preserve"> Финансов риск</w:t>
      </w:r>
    </w:p>
    <w:p w:rsidR="00EC1319" w:rsidRPr="000512C8" w:rsidRDefault="00EC1319" w:rsidP="00EC1319">
      <w:pPr>
        <w:jc w:val="both"/>
        <w:rPr>
          <w:b/>
          <w:i/>
        </w:rPr>
      </w:pPr>
      <w:r>
        <w:t>Финансовият риск на дружеството е свързан с възможността от влошаване на събираемостта на вземанията, което би могло да доведе до затруднено финансово състояние.</w:t>
      </w:r>
    </w:p>
    <w:p w:rsidR="00EC1319" w:rsidRDefault="00EC1319" w:rsidP="00EC1319">
      <w:pPr>
        <w:jc w:val="both"/>
        <w:rPr>
          <w:b/>
          <w:i/>
        </w:rPr>
      </w:pPr>
      <w:r>
        <w:rPr>
          <w:i/>
        </w:rPr>
        <w:t>На база посоченото по</w:t>
      </w:r>
      <w:r w:rsidR="001228B4">
        <w:rPr>
          <w:i/>
        </w:rPr>
        <w:t xml:space="preserve"> – горе и и анализ</w:t>
      </w:r>
      <w:r>
        <w:rPr>
          <w:i/>
        </w:rPr>
        <w:t>а</w:t>
      </w:r>
      <w:r w:rsidR="001228B4">
        <w:rPr>
          <w:i/>
        </w:rPr>
        <w:t xml:space="preserve"> на</w:t>
      </w:r>
      <w:r>
        <w:rPr>
          <w:i/>
        </w:rPr>
        <w:t xml:space="preserve"> финансовото състояние  към   момента на изготвянето на настоящия доклад оценяваме финансовия   риск като: </w:t>
      </w:r>
      <w:r>
        <w:rPr>
          <w:b/>
          <w:i/>
        </w:rPr>
        <w:t>среден риск</w:t>
      </w:r>
    </w:p>
    <w:p w:rsidR="00EC1319" w:rsidRDefault="00EC1319" w:rsidP="00EC1319">
      <w:pPr>
        <w:jc w:val="both"/>
        <w:outlineLvl w:val="0"/>
        <w:rPr>
          <w:b/>
          <w:i/>
        </w:rPr>
      </w:pPr>
      <w:r>
        <w:rPr>
          <w:b/>
          <w:i/>
        </w:rPr>
        <w:t>Ликвиден риск</w:t>
      </w:r>
    </w:p>
    <w:p w:rsidR="00EC1319" w:rsidRDefault="00EC1319" w:rsidP="00EC1319">
      <w:pPr>
        <w:jc w:val="both"/>
      </w:pPr>
      <w:r>
        <w:t>Неспособността  на дружеството да покрива насрещните си задължения е израз на ликвиден риск.</w:t>
      </w:r>
      <w:r w:rsidR="001228B4">
        <w:t xml:space="preserve"> </w:t>
      </w:r>
      <w:r>
        <w:t>Ликвидността зависи главно от наличието в дружеството на парични средства или на съответните им алтернативи. Другият основен фактор, който влияе силно</w:t>
      </w:r>
      <w:r w:rsidR="001228B4">
        <w:t>,</w:t>
      </w:r>
      <w:r>
        <w:t xml:space="preserve"> е свързан с привлечения капитал. </w:t>
      </w:r>
    </w:p>
    <w:p w:rsidR="00EC1319" w:rsidRDefault="001228B4" w:rsidP="00EC1319">
      <w:pPr>
        <w:jc w:val="both"/>
        <w:rPr>
          <w:b/>
          <w:i/>
        </w:rPr>
      </w:pPr>
      <w:r>
        <w:rPr>
          <w:i/>
        </w:rPr>
        <w:t xml:space="preserve">На база посоченото по-горе и </w:t>
      </w:r>
      <w:r w:rsidR="00EC1319">
        <w:rPr>
          <w:i/>
        </w:rPr>
        <w:t>анализ на задълженията ни, както и съотношението между собст</w:t>
      </w:r>
      <w:r>
        <w:rPr>
          <w:i/>
        </w:rPr>
        <w:t xml:space="preserve">вения и привлечен капитал към </w:t>
      </w:r>
      <w:r w:rsidR="00EC1319">
        <w:rPr>
          <w:i/>
        </w:rPr>
        <w:t>момента на изготвянето на настоящия доклад оценяваме ликвидния   риск като</w:t>
      </w:r>
      <w:r w:rsidR="00EC1319">
        <w:rPr>
          <w:b/>
          <w:i/>
        </w:rPr>
        <w:t>:</w:t>
      </w:r>
      <w:r>
        <w:rPr>
          <w:b/>
          <w:i/>
        </w:rPr>
        <w:t xml:space="preserve"> </w:t>
      </w:r>
      <w:r w:rsidR="00EC1319">
        <w:rPr>
          <w:b/>
          <w:i/>
        </w:rPr>
        <w:t>среден риск</w:t>
      </w:r>
    </w:p>
    <w:p w:rsidR="00EC1319" w:rsidRDefault="00EC1319" w:rsidP="00EC1319">
      <w:pPr>
        <w:jc w:val="both"/>
        <w:outlineLvl w:val="0"/>
        <w:rPr>
          <w:b/>
          <w:i/>
        </w:rPr>
      </w:pPr>
      <w:r>
        <w:rPr>
          <w:b/>
          <w:i/>
        </w:rPr>
        <w:t>Кредитен риск</w:t>
      </w:r>
    </w:p>
    <w:p w:rsidR="00EC1319" w:rsidRDefault="00EC1319" w:rsidP="00EC1319">
      <w:pPr>
        <w:jc w:val="both"/>
      </w:pPr>
      <w:r>
        <w:lastRenderedPageBreak/>
        <w:t xml:space="preserve">Ако дружеството използва заемни средства, то тогава е изложено на кредитен риск. Той  може да бъде определен като вероятността кредитополучателят </w:t>
      </w:r>
      <w:r w:rsidR="001228B4">
        <w:t xml:space="preserve">да не изпълнява съзнателно или </w:t>
      </w:r>
      <w:r>
        <w:t>да е в невъзможност да изпълни поетия от него ангажимент по сключения договор за заем. Дружеството няма банкови кредити.</w:t>
      </w:r>
    </w:p>
    <w:p w:rsidR="00EC1319" w:rsidRDefault="00EC1319" w:rsidP="00EC1319">
      <w:pPr>
        <w:jc w:val="both"/>
        <w:rPr>
          <w:i/>
        </w:rPr>
      </w:pPr>
      <w:r>
        <w:rPr>
          <w:i/>
        </w:rPr>
        <w:t xml:space="preserve">На база посоченото по-горе, познаването на кредитната политика на банките, както и състоянието на банковата система по време на финансова криза,  към   момента на изготвянето на настоящия доклад оценяваме кредитния   риск като: </w:t>
      </w:r>
      <w:r>
        <w:rPr>
          <w:b/>
          <w:i/>
        </w:rPr>
        <w:t>без риск</w:t>
      </w:r>
    </w:p>
    <w:p w:rsidR="00EC1319" w:rsidRPr="00CC524B" w:rsidRDefault="00EC1319" w:rsidP="00EC1319">
      <w:pPr>
        <w:jc w:val="both"/>
        <w:outlineLvl w:val="0"/>
        <w:rPr>
          <w:i/>
        </w:rPr>
      </w:pPr>
      <w:r>
        <w:rPr>
          <w:b/>
          <w:i/>
        </w:rPr>
        <w:t>Регулативен риск</w:t>
      </w:r>
    </w:p>
    <w:p w:rsidR="00EC1319" w:rsidRDefault="00EC1319" w:rsidP="00EC1319">
      <w:pPr>
        <w:jc w:val="both"/>
      </w:pPr>
      <w:r>
        <w:t xml:space="preserve">Регулативният риск е свързан с възможността за промени в нормативната база, отнасящи се до опазване на околната среда, както и вероятността дружеството да не бъде в състояние да изпълни предписанията и изискванията на екологичното законодателство и компетентните органи, за което да му бъдат налагани санкции. </w:t>
      </w:r>
    </w:p>
    <w:p w:rsidR="00EC1319" w:rsidRDefault="00EC1319" w:rsidP="00EC1319">
      <w:pPr>
        <w:jc w:val="both"/>
        <w:rPr>
          <w:b/>
          <w:i/>
        </w:rPr>
      </w:pPr>
      <w:r>
        <w:rPr>
          <w:i/>
        </w:rPr>
        <w:t xml:space="preserve">На база посоченото по-горе и прилаганата от дружеството ни екологична политика и познаването на нормативната база, към   момента на изготвянето на настоящия </w:t>
      </w:r>
      <w:r w:rsidR="001228B4">
        <w:rPr>
          <w:i/>
        </w:rPr>
        <w:t xml:space="preserve">доклад оценяваме регулативния  </w:t>
      </w:r>
      <w:r>
        <w:rPr>
          <w:i/>
        </w:rPr>
        <w:t xml:space="preserve">риск като: </w:t>
      </w:r>
      <w:r>
        <w:rPr>
          <w:b/>
          <w:i/>
        </w:rPr>
        <w:t>нисък риск</w:t>
      </w:r>
    </w:p>
    <w:p w:rsidR="00EC1319" w:rsidRPr="000C11E2" w:rsidRDefault="00EC1319" w:rsidP="00B352F2">
      <w:pPr>
        <w:ind w:right="30"/>
        <w:jc w:val="both"/>
        <w:outlineLvl w:val="0"/>
        <w:rPr>
          <w:b/>
        </w:rPr>
      </w:pPr>
      <w:r w:rsidRPr="000C11E2">
        <w:rPr>
          <w:b/>
        </w:rPr>
        <w:t>СТРУКТУРА  НА ПЕРСОНАЛА</w:t>
      </w:r>
    </w:p>
    <w:p w:rsidR="00EC1319" w:rsidRPr="000C11E2" w:rsidRDefault="00EC1319" w:rsidP="00B352F2">
      <w:pPr>
        <w:ind w:right="30"/>
        <w:jc w:val="both"/>
        <w:outlineLvl w:val="0"/>
        <w:rPr>
          <w:b/>
          <w:i/>
        </w:rPr>
      </w:pPr>
      <w:r w:rsidRPr="000C11E2">
        <w:rPr>
          <w:b/>
          <w:i/>
        </w:rPr>
        <w:t>Численост и структура на персонала:</w:t>
      </w:r>
    </w:p>
    <w:p w:rsidR="00EC1319" w:rsidRDefault="00E5478E" w:rsidP="00B352F2">
      <w:pPr>
        <w:ind w:right="30"/>
        <w:jc w:val="both"/>
      </w:pPr>
      <w:r>
        <w:t xml:space="preserve">Към </w:t>
      </w:r>
      <w:r w:rsidR="009E209F">
        <w:t>31</w:t>
      </w:r>
      <w:r w:rsidR="00B9708E">
        <w:t>.</w:t>
      </w:r>
      <w:r w:rsidR="009E209F">
        <w:t>03</w:t>
      </w:r>
      <w:r>
        <w:t>.20</w:t>
      </w:r>
      <w:r w:rsidR="009E209F">
        <w:t>20</w:t>
      </w:r>
      <w:r w:rsidR="00B352F2">
        <w:t xml:space="preserve"> </w:t>
      </w:r>
      <w:r w:rsidR="00B9708E">
        <w:t>г. в дружеството са назначени 2</w:t>
      </w:r>
      <w:r w:rsidR="009E209F">
        <w:t>2</w:t>
      </w:r>
      <w:r w:rsidR="00B352F2">
        <w:t xml:space="preserve"> бр. служители и </w:t>
      </w:r>
      <w:r>
        <w:t>работници</w:t>
      </w:r>
      <w:r w:rsidR="00EC1319" w:rsidRPr="00B352F2">
        <w:t>, разпределен</w:t>
      </w:r>
      <w:r w:rsidR="00B352F2">
        <w:t>и</w:t>
      </w:r>
      <w:r w:rsidR="00EC1319" w:rsidRPr="00B352F2">
        <w:t xml:space="preserve"> по </w:t>
      </w:r>
      <w:r w:rsidR="00B352F2">
        <w:t xml:space="preserve">следните </w:t>
      </w:r>
      <w:r w:rsidR="00EC1319" w:rsidRPr="00B352F2">
        <w:t>категории</w:t>
      </w:r>
      <w:r w:rsidR="00B352F2">
        <w:t>:</w:t>
      </w:r>
      <w:r w:rsidR="00EC1319" w:rsidRPr="00B352F2">
        <w:t xml:space="preserve"> </w:t>
      </w:r>
    </w:p>
    <w:tbl>
      <w:tblPr>
        <w:tblW w:w="6800" w:type="dxa"/>
        <w:tblInd w:w="96" w:type="dxa"/>
        <w:tblLook w:val="04A0"/>
      </w:tblPr>
      <w:tblGrid>
        <w:gridCol w:w="5980"/>
        <w:gridCol w:w="820"/>
      </w:tblGrid>
      <w:tr w:rsidR="00B352F2" w:rsidRPr="00B352F2" w:rsidTr="00B352F2">
        <w:trPr>
          <w:trHeight w:val="504"/>
        </w:trPr>
        <w:tc>
          <w:tcPr>
            <w:tcW w:w="59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vAlign w:val="center"/>
            <w:hideMark/>
          </w:tcPr>
          <w:p w:rsidR="00B352F2" w:rsidRPr="00B352F2" w:rsidRDefault="00B352F2" w:rsidP="00B352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B352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Ръководен персонал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352F2" w:rsidRPr="00E5478E" w:rsidRDefault="00E5478E" w:rsidP="00B35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3</w:t>
            </w:r>
          </w:p>
        </w:tc>
      </w:tr>
      <w:tr w:rsidR="00B352F2" w:rsidRPr="00B352F2" w:rsidTr="00B352F2">
        <w:trPr>
          <w:trHeight w:val="504"/>
        </w:trPr>
        <w:tc>
          <w:tcPr>
            <w:tcW w:w="59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vAlign w:val="center"/>
            <w:hideMark/>
          </w:tcPr>
          <w:p w:rsidR="00B352F2" w:rsidRPr="00B352F2" w:rsidRDefault="00B352F2" w:rsidP="00B352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B352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Аналитични специалисти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352F2" w:rsidRPr="00170D5C" w:rsidRDefault="00E5478E" w:rsidP="00B35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B352F2" w:rsidRPr="00B352F2" w:rsidTr="00B352F2">
        <w:trPr>
          <w:trHeight w:val="504"/>
        </w:trPr>
        <w:tc>
          <w:tcPr>
            <w:tcW w:w="59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vAlign w:val="center"/>
            <w:hideMark/>
          </w:tcPr>
          <w:p w:rsidR="00B352F2" w:rsidRPr="00B352F2" w:rsidRDefault="00B352F2" w:rsidP="00B352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B352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Приложни специалисти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352F2" w:rsidRPr="00E5478E" w:rsidRDefault="00E5478E" w:rsidP="00B35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B352F2" w:rsidRPr="00B352F2" w:rsidTr="00B352F2">
        <w:trPr>
          <w:trHeight w:val="504"/>
        </w:trPr>
        <w:tc>
          <w:tcPr>
            <w:tcW w:w="59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vAlign w:val="center"/>
            <w:hideMark/>
          </w:tcPr>
          <w:p w:rsidR="00B352F2" w:rsidRPr="00B352F2" w:rsidRDefault="00B352F2" w:rsidP="00B352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B352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Помощен и административен персонал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352F2" w:rsidRPr="00B352F2" w:rsidRDefault="00B352F2" w:rsidP="00B35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B352F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B352F2" w:rsidRPr="00B352F2" w:rsidTr="00B352F2">
        <w:trPr>
          <w:trHeight w:val="504"/>
        </w:trPr>
        <w:tc>
          <w:tcPr>
            <w:tcW w:w="59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vAlign w:val="center"/>
            <w:hideMark/>
          </w:tcPr>
          <w:p w:rsidR="00B352F2" w:rsidRPr="00B352F2" w:rsidRDefault="00B352F2" w:rsidP="00B352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B352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Персонал, зает с услуги на населението и охраната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352F2" w:rsidRPr="00B352F2" w:rsidRDefault="00B352F2" w:rsidP="00B35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B352F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5</w:t>
            </w:r>
          </w:p>
        </w:tc>
      </w:tr>
      <w:tr w:rsidR="00B352F2" w:rsidRPr="00B352F2" w:rsidTr="00B352F2">
        <w:trPr>
          <w:trHeight w:val="504"/>
        </w:trPr>
        <w:tc>
          <w:tcPr>
            <w:tcW w:w="59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vAlign w:val="center"/>
            <w:hideMark/>
          </w:tcPr>
          <w:p w:rsidR="00B352F2" w:rsidRPr="00B352F2" w:rsidRDefault="00B352F2" w:rsidP="00B352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B352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Квалифицирани работници и сходни на тях занаятчии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352F2" w:rsidRPr="00170D5C" w:rsidRDefault="009E209F" w:rsidP="00B35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</w:t>
            </w:r>
          </w:p>
        </w:tc>
      </w:tr>
      <w:tr w:rsidR="00B352F2" w:rsidRPr="00B352F2" w:rsidTr="00B352F2">
        <w:trPr>
          <w:trHeight w:val="504"/>
        </w:trPr>
        <w:tc>
          <w:tcPr>
            <w:tcW w:w="59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vAlign w:val="center"/>
            <w:hideMark/>
          </w:tcPr>
          <w:p w:rsidR="00B352F2" w:rsidRPr="00B352F2" w:rsidRDefault="00B352F2" w:rsidP="00B352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B352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Машинни оператори и монтажници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352F2" w:rsidRPr="00B352F2" w:rsidRDefault="00B352F2" w:rsidP="00B35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B352F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B352F2" w:rsidRPr="00B352F2" w:rsidTr="00B352F2">
        <w:trPr>
          <w:trHeight w:val="504"/>
        </w:trPr>
        <w:tc>
          <w:tcPr>
            <w:tcW w:w="598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vAlign w:val="center"/>
            <w:hideMark/>
          </w:tcPr>
          <w:p w:rsidR="00B352F2" w:rsidRPr="00B352F2" w:rsidRDefault="00B352F2" w:rsidP="00B352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B352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Професии, неизискващи специална квалификация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:rsidR="00B352F2" w:rsidRPr="00170D5C" w:rsidRDefault="009E209F" w:rsidP="00B352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2</w:t>
            </w:r>
          </w:p>
        </w:tc>
      </w:tr>
    </w:tbl>
    <w:p w:rsidR="00B352F2" w:rsidRDefault="00B352F2" w:rsidP="00B352F2">
      <w:pPr>
        <w:ind w:right="30"/>
        <w:jc w:val="both"/>
      </w:pPr>
    </w:p>
    <w:p w:rsidR="00EC1319" w:rsidRDefault="00EC1319" w:rsidP="00EC1319">
      <w:pPr>
        <w:jc w:val="both"/>
        <w:outlineLvl w:val="0"/>
        <w:rPr>
          <w:b/>
        </w:rPr>
      </w:pPr>
      <w:r>
        <w:rPr>
          <w:b/>
        </w:rPr>
        <w:t>НАУЧНОИЗСЛЕДОВАТЕЛСКА</w:t>
      </w:r>
      <w:r w:rsidR="00C40212">
        <w:rPr>
          <w:b/>
        </w:rPr>
        <w:t xml:space="preserve"> </w:t>
      </w:r>
      <w:r>
        <w:rPr>
          <w:b/>
        </w:rPr>
        <w:t>И</w:t>
      </w:r>
      <w:r w:rsidR="00C40212">
        <w:rPr>
          <w:b/>
        </w:rPr>
        <w:t xml:space="preserve"> </w:t>
      </w:r>
      <w:r>
        <w:rPr>
          <w:b/>
        </w:rPr>
        <w:t>РАЗВОЙНА ДЕЙНОСТ</w:t>
      </w:r>
    </w:p>
    <w:p w:rsidR="00EC1319" w:rsidRDefault="00EC1319" w:rsidP="00EC1319">
      <w:pPr>
        <w:jc w:val="both"/>
      </w:pPr>
      <w:r>
        <w:t xml:space="preserve">Към </w:t>
      </w:r>
      <w:r w:rsidR="00B9708E">
        <w:t>3</w:t>
      </w:r>
      <w:r w:rsidR="009E209F">
        <w:t>1.03.2020</w:t>
      </w:r>
      <w:r>
        <w:t xml:space="preserve"> </w:t>
      </w:r>
      <w:r w:rsidRPr="00242C5E">
        <w:t>година</w:t>
      </w:r>
      <w:r>
        <w:t xml:space="preserve"> дружеството не е развивало действия, свързани с научноизследователска и  развойна дейност</w:t>
      </w:r>
    </w:p>
    <w:p w:rsidR="00EC1319" w:rsidRDefault="00EC1319" w:rsidP="00EC1319">
      <w:pPr>
        <w:jc w:val="both"/>
        <w:rPr>
          <w:b/>
        </w:rPr>
      </w:pPr>
    </w:p>
    <w:p w:rsidR="00EC1319" w:rsidRDefault="00EC1319" w:rsidP="00EC1319">
      <w:pPr>
        <w:jc w:val="both"/>
        <w:outlineLvl w:val="0"/>
        <w:rPr>
          <w:b/>
        </w:rPr>
      </w:pPr>
      <w:r>
        <w:rPr>
          <w:b/>
        </w:rPr>
        <w:t>ТРИМЕСЕЧЕН ФИНАНСОВ ОТЧЕТ</w:t>
      </w:r>
    </w:p>
    <w:p w:rsidR="00EC1319" w:rsidRPr="000512C8" w:rsidRDefault="00EC1319" w:rsidP="00EC1319">
      <w:pPr>
        <w:jc w:val="both"/>
        <w:rPr>
          <w:lang w:val="en-US"/>
        </w:rPr>
      </w:pPr>
      <w:r>
        <w:lastRenderedPageBreak/>
        <w:t>Дружеството води своето текущо счетоводство и изготвя финансовите си отчети в съответствие с изискванията на Закона за счетоводство и НСС.</w:t>
      </w:r>
    </w:p>
    <w:p w:rsidR="00EC1319" w:rsidRDefault="00EC1319" w:rsidP="00EC1319">
      <w:pPr>
        <w:jc w:val="both"/>
      </w:pPr>
      <w:r>
        <w:t>Информацията, представена във финансовия отчет отговаря на следните изисквания:</w:t>
      </w:r>
    </w:p>
    <w:p w:rsidR="00EC1319" w:rsidRDefault="00EC1319" w:rsidP="00C40212">
      <w:pPr>
        <w:pStyle w:val="ListParagraph"/>
        <w:numPr>
          <w:ilvl w:val="0"/>
          <w:numId w:val="20"/>
        </w:numPr>
        <w:jc w:val="both"/>
      </w:pPr>
      <w:r>
        <w:t>разбираемост;</w:t>
      </w:r>
    </w:p>
    <w:p w:rsidR="00EC1319" w:rsidRDefault="00EC1319" w:rsidP="00C40212">
      <w:pPr>
        <w:pStyle w:val="ListParagraph"/>
        <w:numPr>
          <w:ilvl w:val="0"/>
          <w:numId w:val="20"/>
        </w:numPr>
        <w:jc w:val="both"/>
      </w:pPr>
      <w:r>
        <w:t>уместност;</w:t>
      </w:r>
    </w:p>
    <w:p w:rsidR="00EC1319" w:rsidRDefault="00EC1319" w:rsidP="00C40212">
      <w:pPr>
        <w:pStyle w:val="ListParagraph"/>
        <w:numPr>
          <w:ilvl w:val="0"/>
          <w:numId w:val="20"/>
        </w:numPr>
        <w:jc w:val="both"/>
      </w:pPr>
      <w:r>
        <w:t>надеждност;</w:t>
      </w:r>
    </w:p>
    <w:p w:rsidR="00EC1319" w:rsidRDefault="00EC1319" w:rsidP="00C40212">
      <w:pPr>
        <w:pStyle w:val="ListParagraph"/>
        <w:numPr>
          <w:ilvl w:val="0"/>
          <w:numId w:val="20"/>
        </w:numPr>
        <w:jc w:val="both"/>
      </w:pPr>
      <w:r>
        <w:t>сравнимост.</w:t>
      </w:r>
    </w:p>
    <w:p w:rsidR="00013013" w:rsidRDefault="00EC1319" w:rsidP="00013013">
      <w:pPr>
        <w:jc w:val="both"/>
      </w:pPr>
      <w:r>
        <w:t>Съгласно изискванията на българското законодателство настоящият финансов отчет е изготвен и представен в български лева, закръглени до хиляди.</w:t>
      </w:r>
      <w:r w:rsidR="00013013" w:rsidRPr="00013013">
        <w:t xml:space="preserve"> </w:t>
      </w:r>
      <w:r w:rsidR="00013013">
        <w:t xml:space="preserve">към годишния финансов отчет. </w:t>
      </w:r>
    </w:p>
    <w:p w:rsidR="00013013" w:rsidRDefault="00013013" w:rsidP="00013013">
      <w:pPr>
        <w:jc w:val="both"/>
      </w:pPr>
      <w:r>
        <w:t>Други от съществено значение за дружеството разяснения се оповестяват в приложението към годишния финансов отчет.</w:t>
      </w:r>
    </w:p>
    <w:p w:rsidR="00013013" w:rsidRDefault="00013013" w:rsidP="00013013">
      <w:pPr>
        <w:jc w:val="both"/>
      </w:pPr>
      <w:r>
        <w:t>На  основание посоченото финансово състояние и реализирания ефект от дейността на дружеството през отчетния</w:t>
      </w:r>
      <w:r w:rsidR="009E209F">
        <w:t xml:space="preserve"> период финансовият отчет към 31</w:t>
      </w:r>
      <w:r>
        <w:t>.0</w:t>
      </w:r>
      <w:r w:rsidR="009E209F">
        <w:t>3</w:t>
      </w:r>
      <w:r>
        <w:t>.20</w:t>
      </w:r>
      <w:r w:rsidR="009E209F">
        <w:t>20</w:t>
      </w:r>
      <w:r>
        <w:t xml:space="preserve"> г.  е съставен на база на принципа за  “действащо предприятие”.</w:t>
      </w:r>
    </w:p>
    <w:tbl>
      <w:tblPr>
        <w:tblW w:w="7514" w:type="dxa"/>
        <w:tblInd w:w="96" w:type="dxa"/>
        <w:tblLook w:val="04A0"/>
      </w:tblPr>
      <w:tblGrid>
        <w:gridCol w:w="447"/>
        <w:gridCol w:w="4940"/>
        <w:gridCol w:w="1226"/>
        <w:gridCol w:w="1226"/>
      </w:tblGrid>
      <w:tr w:rsidR="009E209F" w:rsidRPr="009E209F" w:rsidTr="009E209F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ФИНАНСОВИ ПОКАЗАТЕЛИ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E209F" w:rsidRPr="009E209F" w:rsidTr="009E209F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№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9E209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Показатели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31.03.2020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31.03.2019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Финансов</w:t>
            </w:r>
            <w:proofErr w:type="spellEnd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резултат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40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Нетен</w:t>
            </w:r>
            <w:proofErr w:type="spellEnd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размер</w:t>
            </w:r>
            <w:proofErr w:type="spellEnd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на</w:t>
            </w:r>
            <w:proofErr w:type="spellEnd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приходите от продажби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404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Собствен капитал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10 653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10 568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Пасиви /дългосрочни и краткосрочни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760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757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Обща сума </w:t>
            </w:r>
            <w:proofErr w:type="spellStart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на</w:t>
            </w:r>
            <w:proofErr w:type="spellEnd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активите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11 413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11 325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Сума </w:t>
            </w:r>
            <w:proofErr w:type="spellStart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на</w:t>
            </w:r>
            <w:proofErr w:type="spellEnd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дълготрайните материални активи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7 653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7 396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Приходи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432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Разходи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392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Краткотрайни активи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775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760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Разходи за бъдещи периоди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71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Налични краткотрайни активи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724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689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Краткосрочни задължения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180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Краткосрочни вземания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174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Парични средства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648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1 104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Текущи задължения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180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8D8D8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074" w:type="dxa"/>
            <w:gridSpan w:val="3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8D8D8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КОЕФИЦИЕНТИ НА РЕНТАБИЛНОСТ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на</w:t>
            </w:r>
            <w:proofErr w:type="spellEnd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приходи от продажби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0,10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на</w:t>
            </w:r>
            <w:proofErr w:type="spellEnd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собствения капитал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0,00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на</w:t>
            </w:r>
            <w:proofErr w:type="spellEnd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пасивите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0,05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на</w:t>
            </w:r>
            <w:proofErr w:type="spellEnd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активите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0,00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8D8D8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074" w:type="dxa"/>
            <w:gridSpan w:val="3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8D8D8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КОЕФИЦИЕНТИ НА ЕФЕКТИВНОСТ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на</w:t>
            </w:r>
            <w:proofErr w:type="spellEnd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разходите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1,10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proofErr w:type="spellStart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на</w:t>
            </w:r>
            <w:proofErr w:type="spellEnd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приходите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0,86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0,91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8D8D8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074" w:type="dxa"/>
            <w:gridSpan w:val="3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8D8D8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КОЕФИЦИЕНТ НА ЛИКВИДНОСТ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обща ликвидност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4,22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бърза ликвидност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3,11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7,10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незабавна ликвидност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6,13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абсолютна ликвидност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6,13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8D8D8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7074" w:type="dxa"/>
            <w:gridSpan w:val="3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D8D8D8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US"/>
              </w:rPr>
              <w:t>ФИНАНСОВА АВТОНОМНОСТ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Коеф. </w:t>
            </w:r>
            <w:proofErr w:type="spellStart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на</w:t>
            </w:r>
            <w:proofErr w:type="spellEnd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финансова автономност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14,02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13,96</w:t>
            </w:r>
          </w:p>
        </w:tc>
      </w:tr>
      <w:tr w:rsidR="009E209F" w:rsidRPr="009E209F" w:rsidTr="009E209F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27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Коефициент </w:t>
            </w:r>
            <w:proofErr w:type="spellStart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на</w:t>
            </w:r>
            <w:proofErr w:type="spellEnd"/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 xml:space="preserve"> задлъжнялост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E209F" w:rsidRPr="009E209F" w:rsidRDefault="009E209F" w:rsidP="009E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val="en-US"/>
              </w:rPr>
            </w:pPr>
            <w:r w:rsidRPr="009E209F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0,07</w:t>
            </w:r>
          </w:p>
        </w:tc>
      </w:tr>
    </w:tbl>
    <w:p w:rsidR="00013013" w:rsidRDefault="00013013" w:rsidP="00013013">
      <w:pPr>
        <w:jc w:val="both"/>
      </w:pPr>
    </w:p>
    <w:p w:rsidR="00EC1319" w:rsidRDefault="00EC1319" w:rsidP="00EC1319">
      <w:pPr>
        <w:jc w:val="both"/>
        <w:outlineLvl w:val="0"/>
      </w:pPr>
      <w:r w:rsidRPr="004E14A6">
        <w:rPr>
          <w:b/>
        </w:rPr>
        <w:t>БЪДЕЩО РАЗВИТИЕ НА ДРУЖЕСТВОТО</w:t>
      </w:r>
    </w:p>
    <w:p w:rsidR="00EC1319" w:rsidRDefault="00EC1319" w:rsidP="00EC1319">
      <w:pPr>
        <w:jc w:val="both"/>
      </w:pPr>
      <w:r>
        <w:t xml:space="preserve">Тримесечният доклад за дейността на дружеството през </w:t>
      </w:r>
      <w:r w:rsidR="009E209F">
        <w:t xml:space="preserve">първо тримесечие на 2020 </w:t>
      </w:r>
      <w:r>
        <w:t xml:space="preserve">г. е изготвен съгласно изискванията на чл. 33 от </w:t>
      </w:r>
      <w:r w:rsidR="00C40212">
        <w:t>Закона за счетоводство, чл. 189д</w:t>
      </w:r>
      <w:r>
        <w:t xml:space="preserve"> от Търговския закон, на база анализ на развитието, пазарното присъств</w:t>
      </w:r>
      <w:r w:rsidR="001A7865">
        <w:t xml:space="preserve">ие, обществената, макро и микроикономическа среда, финансово – </w:t>
      </w:r>
      <w:r>
        <w:t xml:space="preserve">икономическото състояние на </w:t>
      </w:r>
      <w:r>
        <w:rPr>
          <w:lang w:val="en-US"/>
        </w:rPr>
        <w:t>д</w:t>
      </w:r>
      <w:r w:rsidR="00E5478E">
        <w:t>ружеството</w:t>
      </w:r>
      <w:r>
        <w:t xml:space="preserve"> за 20</w:t>
      </w:r>
      <w:r w:rsidR="009E209F">
        <w:t>20</w:t>
      </w:r>
      <w:r>
        <w:t xml:space="preserve"> г. и перспективите за развитие.</w:t>
      </w:r>
    </w:p>
    <w:p w:rsidR="00E877A0" w:rsidRPr="00367D31" w:rsidRDefault="009E209F" w:rsidP="00E877A0">
      <w:pPr>
        <w:jc w:val="both"/>
      </w:pPr>
      <w:r>
        <w:t>През 2020</w:t>
      </w:r>
      <w:r w:rsidR="00E877A0">
        <w:t xml:space="preserve"> г. в „Проинвекс“ ЕООД продължават дейности, стартирани през </w:t>
      </w:r>
      <w:r>
        <w:t>предходните отчетни периоди</w:t>
      </w:r>
      <w:r w:rsidR="00E877A0">
        <w:t xml:space="preserve"> с цел дружеството да се превърне от дружество, отдаващо имоти под наем в инвестиционно дружество. Работи се по проучвания за бъдещо проектиране и строителство на имоти, собственост на Проинвекс ЕООД. Продължават дейности по сключен договор с консултантска фирма за изграждане на система по качество с цел сертифициране на Проинвекс ЕООД по </w:t>
      </w:r>
      <w:r w:rsidR="00E877A0">
        <w:rPr>
          <w:lang w:val="en-US"/>
        </w:rPr>
        <w:t>ISO</w:t>
      </w:r>
      <w:r w:rsidR="00E877A0">
        <w:t xml:space="preserve">. Предвижда се </w:t>
      </w:r>
      <w:r>
        <w:t>започването на</w:t>
      </w:r>
      <w:r w:rsidR="00E877A0">
        <w:t xml:space="preserve"> строителство на жилищен блок на терен, собственост на дружеството.</w:t>
      </w:r>
    </w:p>
    <w:p w:rsidR="00EC1319" w:rsidRDefault="00EC1319" w:rsidP="00EC1319">
      <w:pPr>
        <w:jc w:val="both"/>
      </w:pPr>
    </w:p>
    <w:p w:rsidR="00EC1319" w:rsidRDefault="00EC1319" w:rsidP="00EC1319">
      <w:pPr>
        <w:jc w:val="both"/>
      </w:pPr>
    </w:p>
    <w:p w:rsidR="00C40212" w:rsidRDefault="00E877A0" w:rsidP="00EC1319">
      <w:pPr>
        <w:jc w:val="both"/>
      </w:pPr>
      <w:r>
        <w:t>24</w:t>
      </w:r>
      <w:r w:rsidR="009E209F">
        <w:t>.04.2020</w:t>
      </w:r>
      <w:r w:rsidR="00EC1319">
        <w:t xml:space="preserve"> г.                                           </w:t>
      </w:r>
      <w:r w:rsidR="00C40212">
        <w:tab/>
      </w:r>
      <w:r w:rsidR="00C40212">
        <w:tab/>
      </w:r>
      <w:r w:rsidR="00EC1319">
        <w:t xml:space="preserve">  Управител:</w:t>
      </w:r>
    </w:p>
    <w:p w:rsidR="00EC1319" w:rsidRDefault="00EC1319" w:rsidP="00EC1319">
      <w:pPr>
        <w:jc w:val="both"/>
      </w:pPr>
      <w:r>
        <w:t>гр.София</w:t>
      </w:r>
    </w:p>
    <w:p w:rsidR="00EC1319" w:rsidRDefault="00EC1319" w:rsidP="00EC1319">
      <w:pPr>
        <w:jc w:val="both"/>
      </w:pPr>
      <w:r>
        <w:t xml:space="preserve">                                                                                </w:t>
      </w:r>
      <w:r w:rsidR="00C40212">
        <w:tab/>
      </w:r>
      <w:r w:rsidR="00C40212">
        <w:tab/>
      </w:r>
      <w:r>
        <w:t xml:space="preserve">    /Николай Вутов/</w:t>
      </w:r>
    </w:p>
    <w:p w:rsidR="002F78B0" w:rsidRPr="00EC1319" w:rsidRDefault="002F78B0" w:rsidP="00EC1319">
      <w:pPr>
        <w:jc w:val="both"/>
        <w:rPr>
          <w:b/>
        </w:rPr>
      </w:pPr>
    </w:p>
    <w:p w:rsidR="00EC1319" w:rsidRPr="00EC1319" w:rsidRDefault="003F6475" w:rsidP="006215C1">
      <w:pPr>
        <w:tabs>
          <w:tab w:val="right" w:pos="9238"/>
        </w:tabs>
        <w:ind w:right="260"/>
        <w:rPr>
          <w:rFonts w:ascii="Century" w:hAnsi="Century"/>
          <w:sz w:val="20"/>
          <w:szCs w:val="20"/>
        </w:rPr>
      </w:pPr>
      <w:r w:rsidRPr="003F6475">
        <w:rPr>
          <w:noProof/>
          <w:color w:val="1F497D" w:themeColor="text2"/>
          <w:sz w:val="26"/>
          <w:szCs w:val="26"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6" type="#_x0000_t202" style="position:absolute;margin-left:0;margin-top:0;width:30.6pt;height:24.65pt;z-index:251661312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<v:textbox style="mso-next-textbox:#Text Box 49;mso-fit-shape-to-text:t" inset="0,,0">
              <w:txbxContent>
                <w:p w:rsidR="00B352F2" w:rsidRPr="00B22572" w:rsidRDefault="00B352F2" w:rsidP="00EC1319">
                  <w:pPr>
                    <w:spacing w:after="0"/>
                    <w:rPr>
                      <w:color w:val="0F243E" w:themeColor="text2" w:themeShade="8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C1319" w:rsidRPr="00EC1319" w:rsidSect="004E14A6">
      <w:headerReference w:type="default" r:id="rId10"/>
      <w:footerReference w:type="default" r:id="rId11"/>
      <w:footerReference w:type="first" r:id="rId12"/>
      <w:pgSz w:w="11906" w:h="16838" w:code="9"/>
      <w:pgMar w:top="1411" w:right="1195" w:bottom="562" w:left="1411" w:header="706" w:footer="43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8B" w:rsidRDefault="0099228B" w:rsidP="006F319F">
      <w:pPr>
        <w:spacing w:after="0" w:line="240" w:lineRule="auto"/>
      </w:pPr>
      <w:r>
        <w:separator/>
      </w:r>
    </w:p>
  </w:endnote>
  <w:endnote w:type="continuationSeparator" w:id="0">
    <w:p w:rsidR="0099228B" w:rsidRDefault="0099228B" w:rsidP="006F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F2" w:rsidRDefault="00B352F2" w:rsidP="006215C1">
    <w:pPr>
      <w:pStyle w:val="Footer"/>
      <w:jc w:val="right"/>
    </w:pPr>
  </w:p>
  <w:p w:rsidR="00B352F2" w:rsidRPr="006215C1" w:rsidRDefault="003F6475" w:rsidP="006215C1">
    <w:pPr>
      <w:pStyle w:val="Footer"/>
      <w:jc w:val="right"/>
      <w:rPr>
        <w:sz w:val="20"/>
        <w:szCs w:val="20"/>
      </w:rPr>
    </w:pPr>
    <w:sdt>
      <w:sdtPr>
        <w:id w:val="385530756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6215C1">
          <w:rPr>
            <w:sz w:val="20"/>
            <w:szCs w:val="20"/>
          </w:rPr>
          <w:fldChar w:fldCharType="begin"/>
        </w:r>
        <w:r w:rsidR="00B352F2" w:rsidRPr="006215C1">
          <w:rPr>
            <w:sz w:val="20"/>
            <w:szCs w:val="20"/>
          </w:rPr>
          <w:instrText xml:space="preserve"> PAGE   \* MERGEFORMAT </w:instrText>
        </w:r>
        <w:r w:rsidRPr="006215C1">
          <w:rPr>
            <w:sz w:val="20"/>
            <w:szCs w:val="20"/>
          </w:rPr>
          <w:fldChar w:fldCharType="separate"/>
        </w:r>
        <w:r w:rsidR="009E209F">
          <w:rPr>
            <w:noProof/>
            <w:sz w:val="20"/>
            <w:szCs w:val="20"/>
          </w:rPr>
          <w:t>- 6 -</w:t>
        </w:r>
        <w:r w:rsidRPr="006215C1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636" w:rsidRDefault="004D7636">
    <w:pPr>
      <w:pStyle w:val="Footer"/>
    </w:pPr>
  </w:p>
  <w:p w:rsidR="004D7636" w:rsidRDefault="004D76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8B" w:rsidRDefault="0099228B" w:rsidP="006F319F">
      <w:pPr>
        <w:spacing w:after="0" w:line="240" w:lineRule="auto"/>
      </w:pPr>
      <w:r>
        <w:separator/>
      </w:r>
    </w:p>
  </w:footnote>
  <w:footnote w:type="continuationSeparator" w:id="0">
    <w:p w:rsidR="0099228B" w:rsidRDefault="0099228B" w:rsidP="006F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F2" w:rsidRPr="005418CE" w:rsidRDefault="00B352F2" w:rsidP="005418CE">
    <w:pPr>
      <w:pStyle w:val="Header"/>
      <w:jc w:val="center"/>
      <w:rPr>
        <w:u w:val="thic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873"/>
    <w:multiLevelType w:val="hybridMultilevel"/>
    <w:tmpl w:val="7EB0B85A"/>
    <w:lvl w:ilvl="0" w:tplc="7F8A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53E6"/>
    <w:multiLevelType w:val="singleLevel"/>
    <w:tmpl w:val="669278AC"/>
    <w:lvl w:ilvl="0">
      <w:start w:val="5"/>
      <w:numFmt w:val="decimal"/>
      <w:lvlText w:val="%1."/>
      <w:legacy w:legacy="1" w:legacySpace="0" w:legacyIndent="273"/>
      <w:lvlJc w:val="left"/>
      <w:rPr>
        <w:rFonts w:ascii="Arial" w:hAnsi="Arial" w:cs="Arial" w:hint="default"/>
        <w:b w:val="0"/>
        <w:color w:val="auto"/>
      </w:rPr>
    </w:lvl>
  </w:abstractNum>
  <w:abstractNum w:abstractNumId="2">
    <w:nsid w:val="05C873E1"/>
    <w:multiLevelType w:val="hybridMultilevel"/>
    <w:tmpl w:val="CA7EC700"/>
    <w:lvl w:ilvl="0" w:tplc="99D89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C38F2"/>
    <w:multiLevelType w:val="hybridMultilevel"/>
    <w:tmpl w:val="ACB04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E7CE1"/>
    <w:multiLevelType w:val="hybridMultilevel"/>
    <w:tmpl w:val="19B0D91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D3069"/>
    <w:multiLevelType w:val="hybridMultilevel"/>
    <w:tmpl w:val="C3B81150"/>
    <w:lvl w:ilvl="0" w:tplc="08340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446EC3"/>
    <w:multiLevelType w:val="hybridMultilevel"/>
    <w:tmpl w:val="0BF88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56DD1"/>
    <w:multiLevelType w:val="hybridMultilevel"/>
    <w:tmpl w:val="A984B176"/>
    <w:lvl w:ilvl="0" w:tplc="D158A4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6D1B00"/>
    <w:multiLevelType w:val="singleLevel"/>
    <w:tmpl w:val="5CC684B6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0F43C4B"/>
    <w:multiLevelType w:val="hybridMultilevel"/>
    <w:tmpl w:val="95F2E5D0"/>
    <w:lvl w:ilvl="0" w:tplc="0228F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6861DC"/>
    <w:multiLevelType w:val="hybridMultilevel"/>
    <w:tmpl w:val="FA866EA2"/>
    <w:lvl w:ilvl="0" w:tplc="D7928646">
      <w:start w:val="3"/>
      <w:numFmt w:val="decimal"/>
      <w:lvlText w:val="(%1)"/>
      <w:lvlJc w:val="left"/>
      <w:pPr>
        <w:ind w:left="184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61" w:hanging="360"/>
      </w:pPr>
    </w:lvl>
    <w:lvl w:ilvl="2" w:tplc="0409001B" w:tentative="1">
      <w:start w:val="1"/>
      <w:numFmt w:val="lowerRoman"/>
      <w:lvlText w:val="%3."/>
      <w:lvlJc w:val="right"/>
      <w:pPr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11">
    <w:nsid w:val="45952263"/>
    <w:multiLevelType w:val="hybridMultilevel"/>
    <w:tmpl w:val="10EECFB8"/>
    <w:lvl w:ilvl="0" w:tplc="D55E3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F1645"/>
    <w:multiLevelType w:val="hybridMultilevel"/>
    <w:tmpl w:val="F82A1A48"/>
    <w:lvl w:ilvl="0" w:tplc="6206F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601EE1"/>
    <w:multiLevelType w:val="hybridMultilevel"/>
    <w:tmpl w:val="0A54B100"/>
    <w:lvl w:ilvl="0" w:tplc="F42CE7FE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EC5316"/>
    <w:multiLevelType w:val="hybridMultilevel"/>
    <w:tmpl w:val="A232C55C"/>
    <w:lvl w:ilvl="0" w:tplc="9ACE4F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14195"/>
    <w:multiLevelType w:val="hybridMultilevel"/>
    <w:tmpl w:val="EE0E4D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955F3"/>
    <w:multiLevelType w:val="hybridMultilevel"/>
    <w:tmpl w:val="0CC4FE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864E8"/>
    <w:multiLevelType w:val="hybridMultilevel"/>
    <w:tmpl w:val="3F249BAC"/>
    <w:lvl w:ilvl="0" w:tplc="7974DC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15F23"/>
    <w:multiLevelType w:val="hybridMultilevel"/>
    <w:tmpl w:val="8F44B2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6112F"/>
    <w:multiLevelType w:val="hybridMultilevel"/>
    <w:tmpl w:val="7610E0C4"/>
    <w:lvl w:ilvl="0" w:tplc="AB58D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15"/>
  </w:num>
  <w:num w:numId="10">
    <w:abstractNumId w:val="18"/>
  </w:num>
  <w:num w:numId="11">
    <w:abstractNumId w:val="17"/>
  </w:num>
  <w:num w:numId="12">
    <w:abstractNumId w:val="7"/>
  </w:num>
  <w:num w:numId="13">
    <w:abstractNumId w:val="9"/>
  </w:num>
  <w:num w:numId="14">
    <w:abstractNumId w:val="2"/>
  </w:num>
  <w:num w:numId="15">
    <w:abstractNumId w:val="1"/>
  </w:num>
  <w:num w:numId="16">
    <w:abstractNumId w:val="13"/>
  </w:num>
  <w:num w:numId="17">
    <w:abstractNumId w:val="19"/>
  </w:num>
  <w:num w:numId="18">
    <w:abstractNumId w:val="6"/>
  </w:num>
  <w:num w:numId="19">
    <w:abstractNumId w:val="14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F319F"/>
    <w:rsid w:val="00013013"/>
    <w:rsid w:val="000147E2"/>
    <w:rsid w:val="00025C1B"/>
    <w:rsid w:val="00031878"/>
    <w:rsid w:val="00033AA6"/>
    <w:rsid w:val="00035C72"/>
    <w:rsid w:val="00035D97"/>
    <w:rsid w:val="0004363D"/>
    <w:rsid w:val="00060018"/>
    <w:rsid w:val="00065D0D"/>
    <w:rsid w:val="000826BE"/>
    <w:rsid w:val="000A0443"/>
    <w:rsid w:val="000A198A"/>
    <w:rsid w:val="000C17FA"/>
    <w:rsid w:val="000C5D45"/>
    <w:rsid w:val="001170E1"/>
    <w:rsid w:val="001228B4"/>
    <w:rsid w:val="0015742D"/>
    <w:rsid w:val="00157E75"/>
    <w:rsid w:val="001638D7"/>
    <w:rsid w:val="00170D5C"/>
    <w:rsid w:val="00184B3A"/>
    <w:rsid w:val="00186443"/>
    <w:rsid w:val="00194763"/>
    <w:rsid w:val="001A0564"/>
    <w:rsid w:val="001A2C95"/>
    <w:rsid w:val="001A4B8D"/>
    <w:rsid w:val="001A7865"/>
    <w:rsid w:val="001C24E6"/>
    <w:rsid w:val="001C32DF"/>
    <w:rsid w:val="001D087F"/>
    <w:rsid w:val="001E6123"/>
    <w:rsid w:val="001F08CE"/>
    <w:rsid w:val="00214274"/>
    <w:rsid w:val="00214E4A"/>
    <w:rsid w:val="00234EB6"/>
    <w:rsid w:val="002357ED"/>
    <w:rsid w:val="00235D9A"/>
    <w:rsid w:val="002420B2"/>
    <w:rsid w:val="0025219E"/>
    <w:rsid w:val="00271928"/>
    <w:rsid w:val="00272921"/>
    <w:rsid w:val="0029218F"/>
    <w:rsid w:val="00293544"/>
    <w:rsid w:val="002945E9"/>
    <w:rsid w:val="002E1DC0"/>
    <w:rsid w:val="002E54E3"/>
    <w:rsid w:val="002F245D"/>
    <w:rsid w:val="002F78B0"/>
    <w:rsid w:val="00307849"/>
    <w:rsid w:val="00317955"/>
    <w:rsid w:val="00320426"/>
    <w:rsid w:val="003427C8"/>
    <w:rsid w:val="003527CD"/>
    <w:rsid w:val="00361AEA"/>
    <w:rsid w:val="00372098"/>
    <w:rsid w:val="00372F50"/>
    <w:rsid w:val="00375104"/>
    <w:rsid w:val="00377981"/>
    <w:rsid w:val="0038172A"/>
    <w:rsid w:val="00393DE7"/>
    <w:rsid w:val="0039567C"/>
    <w:rsid w:val="003B76A9"/>
    <w:rsid w:val="003C4C7C"/>
    <w:rsid w:val="003F6475"/>
    <w:rsid w:val="003F69CC"/>
    <w:rsid w:val="004021FE"/>
    <w:rsid w:val="00415641"/>
    <w:rsid w:val="004221E8"/>
    <w:rsid w:val="00451C97"/>
    <w:rsid w:val="00451FC9"/>
    <w:rsid w:val="004531CB"/>
    <w:rsid w:val="00455DAD"/>
    <w:rsid w:val="0045687C"/>
    <w:rsid w:val="004A42B6"/>
    <w:rsid w:val="004B0676"/>
    <w:rsid w:val="004B4234"/>
    <w:rsid w:val="004C0BCE"/>
    <w:rsid w:val="004C0C16"/>
    <w:rsid w:val="004C1904"/>
    <w:rsid w:val="004D67A8"/>
    <w:rsid w:val="004D7212"/>
    <w:rsid w:val="004D7636"/>
    <w:rsid w:val="004E14A6"/>
    <w:rsid w:val="004F20E8"/>
    <w:rsid w:val="004F2DC8"/>
    <w:rsid w:val="00506D94"/>
    <w:rsid w:val="00517C4F"/>
    <w:rsid w:val="005222EC"/>
    <w:rsid w:val="0053153A"/>
    <w:rsid w:val="0053260E"/>
    <w:rsid w:val="005340A4"/>
    <w:rsid w:val="005418CE"/>
    <w:rsid w:val="00543D7B"/>
    <w:rsid w:val="00545A0D"/>
    <w:rsid w:val="0055148C"/>
    <w:rsid w:val="005647BB"/>
    <w:rsid w:val="00565091"/>
    <w:rsid w:val="005702C0"/>
    <w:rsid w:val="00570396"/>
    <w:rsid w:val="00575914"/>
    <w:rsid w:val="005849E5"/>
    <w:rsid w:val="005A09C2"/>
    <w:rsid w:val="005A3095"/>
    <w:rsid w:val="005A33A2"/>
    <w:rsid w:val="005B36A6"/>
    <w:rsid w:val="005C614C"/>
    <w:rsid w:val="005D3FC0"/>
    <w:rsid w:val="005E02CE"/>
    <w:rsid w:val="005F20A2"/>
    <w:rsid w:val="005F2EEE"/>
    <w:rsid w:val="00602061"/>
    <w:rsid w:val="00613A4A"/>
    <w:rsid w:val="0061612B"/>
    <w:rsid w:val="00621546"/>
    <w:rsid w:val="006215C1"/>
    <w:rsid w:val="00627F34"/>
    <w:rsid w:val="00631A58"/>
    <w:rsid w:val="00645815"/>
    <w:rsid w:val="00655F39"/>
    <w:rsid w:val="00657A49"/>
    <w:rsid w:val="0068253B"/>
    <w:rsid w:val="0068693D"/>
    <w:rsid w:val="00687EE5"/>
    <w:rsid w:val="006D3A21"/>
    <w:rsid w:val="006D3E76"/>
    <w:rsid w:val="006E4E7E"/>
    <w:rsid w:val="006F319F"/>
    <w:rsid w:val="006F6E8C"/>
    <w:rsid w:val="00727145"/>
    <w:rsid w:val="00740D05"/>
    <w:rsid w:val="007645AE"/>
    <w:rsid w:val="0077627B"/>
    <w:rsid w:val="007813AB"/>
    <w:rsid w:val="00792EE6"/>
    <w:rsid w:val="007B1125"/>
    <w:rsid w:val="007C2D53"/>
    <w:rsid w:val="007F737F"/>
    <w:rsid w:val="00812F47"/>
    <w:rsid w:val="00813C87"/>
    <w:rsid w:val="008436AD"/>
    <w:rsid w:val="00852097"/>
    <w:rsid w:val="008531E3"/>
    <w:rsid w:val="00855F98"/>
    <w:rsid w:val="008574F4"/>
    <w:rsid w:val="0086255F"/>
    <w:rsid w:val="00866D57"/>
    <w:rsid w:val="00886C0A"/>
    <w:rsid w:val="00896747"/>
    <w:rsid w:val="008976A8"/>
    <w:rsid w:val="008A1F05"/>
    <w:rsid w:val="008A1F35"/>
    <w:rsid w:val="008A379B"/>
    <w:rsid w:val="008B3E45"/>
    <w:rsid w:val="008B55B8"/>
    <w:rsid w:val="008E5BF2"/>
    <w:rsid w:val="008E6BF1"/>
    <w:rsid w:val="008F1927"/>
    <w:rsid w:val="008F5ADA"/>
    <w:rsid w:val="008F6549"/>
    <w:rsid w:val="0090589F"/>
    <w:rsid w:val="009134CB"/>
    <w:rsid w:val="00954ED5"/>
    <w:rsid w:val="00956CA9"/>
    <w:rsid w:val="00960778"/>
    <w:rsid w:val="00960FBC"/>
    <w:rsid w:val="009747D7"/>
    <w:rsid w:val="00974F23"/>
    <w:rsid w:val="0098580F"/>
    <w:rsid w:val="0099228B"/>
    <w:rsid w:val="009933A2"/>
    <w:rsid w:val="009A0433"/>
    <w:rsid w:val="009A6FDA"/>
    <w:rsid w:val="009A703D"/>
    <w:rsid w:val="009C06B8"/>
    <w:rsid w:val="009C0ECB"/>
    <w:rsid w:val="009D5E3E"/>
    <w:rsid w:val="009E06B4"/>
    <w:rsid w:val="009E0EED"/>
    <w:rsid w:val="009E209F"/>
    <w:rsid w:val="009F0D9A"/>
    <w:rsid w:val="00A11D2C"/>
    <w:rsid w:val="00A16E4E"/>
    <w:rsid w:val="00A2394E"/>
    <w:rsid w:val="00A25F86"/>
    <w:rsid w:val="00A63EC0"/>
    <w:rsid w:val="00A6621C"/>
    <w:rsid w:val="00A85E00"/>
    <w:rsid w:val="00A864D6"/>
    <w:rsid w:val="00A97AFB"/>
    <w:rsid w:val="00AB0EAD"/>
    <w:rsid w:val="00AD041B"/>
    <w:rsid w:val="00AD7D45"/>
    <w:rsid w:val="00AF4E80"/>
    <w:rsid w:val="00B00877"/>
    <w:rsid w:val="00B04CFF"/>
    <w:rsid w:val="00B068D6"/>
    <w:rsid w:val="00B16B01"/>
    <w:rsid w:val="00B22572"/>
    <w:rsid w:val="00B352F2"/>
    <w:rsid w:val="00B373B0"/>
    <w:rsid w:val="00B41F6D"/>
    <w:rsid w:val="00B460D3"/>
    <w:rsid w:val="00B470DA"/>
    <w:rsid w:val="00B568E8"/>
    <w:rsid w:val="00B576F2"/>
    <w:rsid w:val="00B612C7"/>
    <w:rsid w:val="00B74E0A"/>
    <w:rsid w:val="00B7612D"/>
    <w:rsid w:val="00B96A45"/>
    <w:rsid w:val="00B9708E"/>
    <w:rsid w:val="00BA0CFE"/>
    <w:rsid w:val="00BA2F33"/>
    <w:rsid w:val="00BA5D32"/>
    <w:rsid w:val="00BB0BB4"/>
    <w:rsid w:val="00BD4158"/>
    <w:rsid w:val="00BE6A70"/>
    <w:rsid w:val="00C07E4E"/>
    <w:rsid w:val="00C13C83"/>
    <w:rsid w:val="00C40212"/>
    <w:rsid w:val="00C476D9"/>
    <w:rsid w:val="00C50E6A"/>
    <w:rsid w:val="00C539E0"/>
    <w:rsid w:val="00C64995"/>
    <w:rsid w:val="00C661CE"/>
    <w:rsid w:val="00C66D5C"/>
    <w:rsid w:val="00C759A0"/>
    <w:rsid w:val="00C8310E"/>
    <w:rsid w:val="00C8521E"/>
    <w:rsid w:val="00C8710C"/>
    <w:rsid w:val="00CC0587"/>
    <w:rsid w:val="00CD1D56"/>
    <w:rsid w:val="00CE5514"/>
    <w:rsid w:val="00CF065D"/>
    <w:rsid w:val="00CF3A88"/>
    <w:rsid w:val="00D01931"/>
    <w:rsid w:val="00D02DA9"/>
    <w:rsid w:val="00D05D14"/>
    <w:rsid w:val="00D11A68"/>
    <w:rsid w:val="00D128BE"/>
    <w:rsid w:val="00D17360"/>
    <w:rsid w:val="00D173BA"/>
    <w:rsid w:val="00D20755"/>
    <w:rsid w:val="00D441CB"/>
    <w:rsid w:val="00D51B7D"/>
    <w:rsid w:val="00D531BF"/>
    <w:rsid w:val="00D57F6B"/>
    <w:rsid w:val="00D712B6"/>
    <w:rsid w:val="00D720D5"/>
    <w:rsid w:val="00D76218"/>
    <w:rsid w:val="00D775C3"/>
    <w:rsid w:val="00D84795"/>
    <w:rsid w:val="00D9260D"/>
    <w:rsid w:val="00D95F87"/>
    <w:rsid w:val="00DA3BB6"/>
    <w:rsid w:val="00DB1EF9"/>
    <w:rsid w:val="00DB1F5F"/>
    <w:rsid w:val="00DB65BC"/>
    <w:rsid w:val="00DC35B9"/>
    <w:rsid w:val="00DC682B"/>
    <w:rsid w:val="00DE280B"/>
    <w:rsid w:val="00DE3C82"/>
    <w:rsid w:val="00DE6F8C"/>
    <w:rsid w:val="00DF36D2"/>
    <w:rsid w:val="00E039BA"/>
    <w:rsid w:val="00E16BC6"/>
    <w:rsid w:val="00E244A7"/>
    <w:rsid w:val="00E271F4"/>
    <w:rsid w:val="00E339E5"/>
    <w:rsid w:val="00E34AB2"/>
    <w:rsid w:val="00E47E09"/>
    <w:rsid w:val="00E5478E"/>
    <w:rsid w:val="00E61D23"/>
    <w:rsid w:val="00E71DFC"/>
    <w:rsid w:val="00E83269"/>
    <w:rsid w:val="00E877A0"/>
    <w:rsid w:val="00E97894"/>
    <w:rsid w:val="00EA70D2"/>
    <w:rsid w:val="00EC1319"/>
    <w:rsid w:val="00ED1D87"/>
    <w:rsid w:val="00F02834"/>
    <w:rsid w:val="00F51070"/>
    <w:rsid w:val="00F536CC"/>
    <w:rsid w:val="00F6582E"/>
    <w:rsid w:val="00F82D38"/>
    <w:rsid w:val="00F91A68"/>
    <w:rsid w:val="00F94961"/>
    <w:rsid w:val="00F95B42"/>
    <w:rsid w:val="00FA54C7"/>
    <w:rsid w:val="00FB091C"/>
    <w:rsid w:val="00FC4FFE"/>
    <w:rsid w:val="00FF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F2"/>
  </w:style>
  <w:style w:type="paragraph" w:styleId="Heading3">
    <w:name w:val="heading 3"/>
    <w:basedOn w:val="Normal"/>
    <w:link w:val="Heading3Char"/>
    <w:qFormat/>
    <w:rsid w:val="0025219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bg-BG"/>
    </w:rPr>
  </w:style>
  <w:style w:type="paragraph" w:styleId="Heading6">
    <w:name w:val="heading 6"/>
    <w:basedOn w:val="Normal"/>
    <w:link w:val="Heading6Char"/>
    <w:qFormat/>
    <w:rsid w:val="0025219E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9F"/>
  </w:style>
  <w:style w:type="paragraph" w:styleId="Footer">
    <w:name w:val="footer"/>
    <w:basedOn w:val="Normal"/>
    <w:link w:val="FooterChar"/>
    <w:uiPriority w:val="99"/>
    <w:unhideWhenUsed/>
    <w:rsid w:val="006F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9F"/>
  </w:style>
  <w:style w:type="paragraph" w:styleId="BalloonText">
    <w:name w:val="Balloon Text"/>
    <w:basedOn w:val="Normal"/>
    <w:link w:val="BalloonTextChar"/>
    <w:uiPriority w:val="99"/>
    <w:semiHidden/>
    <w:unhideWhenUsed/>
    <w:rsid w:val="006F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9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DF36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en-US"/>
    </w:rPr>
  </w:style>
  <w:style w:type="paragraph" w:customStyle="1" w:styleId="Style5">
    <w:name w:val="Style5"/>
    <w:basedOn w:val="Normal"/>
    <w:uiPriority w:val="99"/>
    <w:rsid w:val="00DF36D2"/>
    <w:pPr>
      <w:widowControl w:val="0"/>
      <w:autoSpaceDE w:val="0"/>
      <w:autoSpaceDN w:val="0"/>
      <w:adjustRightInd w:val="0"/>
      <w:spacing w:after="0" w:line="262" w:lineRule="exact"/>
    </w:pPr>
    <w:rPr>
      <w:rFonts w:eastAsia="Times New Roman"/>
      <w:lang w:val="en-US"/>
    </w:rPr>
  </w:style>
  <w:style w:type="paragraph" w:customStyle="1" w:styleId="Style7">
    <w:name w:val="Style7"/>
    <w:basedOn w:val="Normal"/>
    <w:uiPriority w:val="99"/>
    <w:rsid w:val="00DF36D2"/>
    <w:pPr>
      <w:widowControl w:val="0"/>
      <w:autoSpaceDE w:val="0"/>
      <w:autoSpaceDN w:val="0"/>
      <w:adjustRightInd w:val="0"/>
      <w:spacing w:after="0" w:line="264" w:lineRule="exact"/>
      <w:ind w:firstLine="821"/>
      <w:jc w:val="both"/>
    </w:pPr>
    <w:rPr>
      <w:rFonts w:eastAsia="Times New Roman"/>
      <w:lang w:val="en-US"/>
    </w:rPr>
  </w:style>
  <w:style w:type="character" w:customStyle="1" w:styleId="FontStyle11">
    <w:name w:val="Font Style11"/>
    <w:uiPriority w:val="99"/>
    <w:rsid w:val="00DF36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DF36D2"/>
    <w:rPr>
      <w:rFonts w:ascii="Lucida Sans Unicode" w:hAnsi="Lucida Sans Unicode" w:cs="Lucida Sans Unicode"/>
      <w:sz w:val="18"/>
      <w:szCs w:val="18"/>
    </w:rPr>
  </w:style>
  <w:style w:type="paragraph" w:customStyle="1" w:styleId="Style6">
    <w:name w:val="Style6"/>
    <w:basedOn w:val="Normal"/>
    <w:uiPriority w:val="99"/>
    <w:rsid w:val="00DF36D2"/>
    <w:pPr>
      <w:widowControl w:val="0"/>
      <w:autoSpaceDE w:val="0"/>
      <w:autoSpaceDN w:val="0"/>
      <w:adjustRightInd w:val="0"/>
      <w:spacing w:after="0" w:line="264" w:lineRule="exact"/>
      <w:ind w:firstLine="821"/>
      <w:jc w:val="both"/>
    </w:pPr>
    <w:rPr>
      <w:rFonts w:eastAsia="Times New Roman"/>
      <w:lang w:val="en-US"/>
    </w:rPr>
  </w:style>
  <w:style w:type="character" w:customStyle="1" w:styleId="FontStyle13">
    <w:name w:val="Font Style13"/>
    <w:uiPriority w:val="99"/>
    <w:rsid w:val="00DF36D2"/>
    <w:rPr>
      <w:rFonts w:ascii="Lucida Sans Unicode" w:hAnsi="Lucida Sans Unicode" w:cs="Lucida Sans Unicode"/>
      <w:sz w:val="18"/>
      <w:szCs w:val="18"/>
    </w:rPr>
  </w:style>
  <w:style w:type="paragraph" w:customStyle="1" w:styleId="Style2">
    <w:name w:val="Style2"/>
    <w:basedOn w:val="Normal"/>
    <w:uiPriority w:val="99"/>
    <w:rsid w:val="00DF36D2"/>
    <w:pPr>
      <w:widowControl w:val="0"/>
      <w:autoSpaceDE w:val="0"/>
      <w:autoSpaceDN w:val="0"/>
      <w:adjustRightInd w:val="0"/>
      <w:spacing w:after="0" w:line="264" w:lineRule="exact"/>
      <w:ind w:firstLine="1694"/>
      <w:jc w:val="both"/>
    </w:pPr>
    <w:rPr>
      <w:rFonts w:eastAsia="Times New Roman"/>
      <w:lang w:val="en-US"/>
    </w:rPr>
  </w:style>
  <w:style w:type="paragraph" w:customStyle="1" w:styleId="Style1">
    <w:name w:val="Style1"/>
    <w:basedOn w:val="Normal"/>
    <w:uiPriority w:val="99"/>
    <w:rsid w:val="00DF36D2"/>
    <w:pPr>
      <w:widowControl w:val="0"/>
      <w:autoSpaceDE w:val="0"/>
      <w:autoSpaceDN w:val="0"/>
      <w:adjustRightInd w:val="0"/>
      <w:spacing w:after="0" w:line="384" w:lineRule="exact"/>
      <w:ind w:hanging="691"/>
    </w:pPr>
    <w:rPr>
      <w:rFonts w:eastAsia="Times New Roman"/>
      <w:lang w:val="en-US"/>
    </w:rPr>
  </w:style>
  <w:style w:type="character" w:styleId="Hyperlink">
    <w:name w:val="Hyperlink"/>
    <w:uiPriority w:val="99"/>
    <w:rsid w:val="00DF36D2"/>
    <w:rPr>
      <w:color w:val="000080"/>
      <w:u w:val="single"/>
    </w:rPr>
  </w:style>
  <w:style w:type="paragraph" w:styleId="NoSpacing">
    <w:name w:val="No Spacing"/>
    <w:uiPriority w:val="1"/>
    <w:qFormat/>
    <w:rsid w:val="004F20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70E1"/>
    <w:pPr>
      <w:ind w:left="720"/>
      <w:contextualSpacing/>
    </w:pPr>
  </w:style>
  <w:style w:type="paragraph" w:styleId="Title">
    <w:name w:val="Title"/>
    <w:basedOn w:val="Normal"/>
    <w:link w:val="TitleChar"/>
    <w:qFormat/>
    <w:rsid w:val="00BE6A70"/>
    <w:pPr>
      <w:spacing w:after="0" w:line="240" w:lineRule="auto"/>
      <w:jc w:val="center"/>
    </w:pPr>
    <w:rPr>
      <w:rFonts w:eastAsia="Times New Roman"/>
      <w:b/>
      <w:sz w:val="32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BE6A70"/>
    <w:rPr>
      <w:rFonts w:eastAsia="Times New Roman"/>
      <w:b/>
      <w:sz w:val="32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25219E"/>
    <w:rPr>
      <w:rFonts w:eastAsia="Times New Roman"/>
      <w:b/>
      <w:bCs/>
      <w:sz w:val="27"/>
      <w:szCs w:val="27"/>
      <w:lang w:eastAsia="bg-BG"/>
    </w:rPr>
  </w:style>
  <w:style w:type="character" w:customStyle="1" w:styleId="Heading6Char">
    <w:name w:val="Heading 6 Char"/>
    <w:basedOn w:val="DefaultParagraphFont"/>
    <w:link w:val="Heading6"/>
    <w:rsid w:val="0025219E"/>
    <w:rPr>
      <w:rFonts w:eastAsia="Times New Roman"/>
      <w:b/>
      <w:bCs/>
      <w:sz w:val="15"/>
      <w:szCs w:val="15"/>
      <w:lang w:eastAsia="bg-BG"/>
    </w:rPr>
  </w:style>
  <w:style w:type="paragraph" w:styleId="NormalWeb">
    <w:name w:val="Normal (Web)"/>
    <w:basedOn w:val="Normal"/>
    <w:rsid w:val="0025219E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Style3">
    <w:name w:val="Style3"/>
    <w:basedOn w:val="Normal"/>
    <w:uiPriority w:val="99"/>
    <w:rsid w:val="00B16B01"/>
    <w:pPr>
      <w:widowControl w:val="0"/>
      <w:autoSpaceDE w:val="0"/>
      <w:autoSpaceDN w:val="0"/>
      <w:adjustRightInd w:val="0"/>
      <w:spacing w:after="0" w:line="168" w:lineRule="exact"/>
      <w:ind w:firstLine="715"/>
    </w:pPr>
    <w:rPr>
      <w:rFonts w:ascii="Arial" w:eastAsiaTheme="minorEastAsia" w:hAnsi="Arial" w:cs="Arial"/>
      <w:lang w:eastAsia="bg-BG"/>
    </w:rPr>
  </w:style>
  <w:style w:type="paragraph" w:customStyle="1" w:styleId="Style12">
    <w:name w:val="Style12"/>
    <w:basedOn w:val="Normal"/>
    <w:uiPriority w:val="99"/>
    <w:rsid w:val="00B1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bg-BG"/>
    </w:rPr>
  </w:style>
  <w:style w:type="paragraph" w:customStyle="1" w:styleId="Style14">
    <w:name w:val="Style14"/>
    <w:basedOn w:val="Normal"/>
    <w:uiPriority w:val="99"/>
    <w:rsid w:val="00B16B01"/>
    <w:pPr>
      <w:widowControl w:val="0"/>
      <w:autoSpaceDE w:val="0"/>
      <w:autoSpaceDN w:val="0"/>
      <w:adjustRightInd w:val="0"/>
      <w:spacing w:after="0" w:line="245" w:lineRule="exact"/>
      <w:ind w:firstLine="710"/>
      <w:jc w:val="both"/>
    </w:pPr>
    <w:rPr>
      <w:rFonts w:ascii="Arial" w:eastAsiaTheme="minorEastAsia" w:hAnsi="Arial" w:cs="Arial"/>
      <w:lang w:eastAsia="bg-BG"/>
    </w:rPr>
  </w:style>
  <w:style w:type="paragraph" w:customStyle="1" w:styleId="Style15">
    <w:name w:val="Style15"/>
    <w:basedOn w:val="Normal"/>
    <w:uiPriority w:val="99"/>
    <w:rsid w:val="00B16B01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Theme="minorEastAsia" w:hAnsi="Arial" w:cs="Arial"/>
      <w:lang w:eastAsia="bg-BG"/>
    </w:rPr>
  </w:style>
  <w:style w:type="paragraph" w:customStyle="1" w:styleId="Style16">
    <w:name w:val="Style16"/>
    <w:basedOn w:val="Normal"/>
    <w:uiPriority w:val="99"/>
    <w:rsid w:val="00B16B01"/>
    <w:pPr>
      <w:widowControl w:val="0"/>
      <w:autoSpaceDE w:val="0"/>
      <w:autoSpaceDN w:val="0"/>
      <w:adjustRightInd w:val="0"/>
      <w:spacing w:after="0" w:line="240" w:lineRule="exact"/>
      <w:ind w:firstLine="725"/>
      <w:jc w:val="both"/>
    </w:pPr>
    <w:rPr>
      <w:rFonts w:ascii="Arial" w:eastAsiaTheme="minorEastAsia" w:hAnsi="Arial" w:cs="Arial"/>
      <w:lang w:eastAsia="bg-BG"/>
    </w:rPr>
  </w:style>
  <w:style w:type="character" w:customStyle="1" w:styleId="FontStyle18">
    <w:name w:val="Font Style18"/>
    <w:basedOn w:val="DefaultParagraphFont"/>
    <w:uiPriority w:val="99"/>
    <w:rsid w:val="00B16B01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B16B01"/>
    <w:rPr>
      <w:rFonts w:ascii="Arial" w:hAnsi="Arial" w:cs="Arial"/>
      <w:smallCaps/>
      <w:spacing w:val="10"/>
      <w:sz w:val="32"/>
      <w:szCs w:val="32"/>
    </w:rPr>
  </w:style>
  <w:style w:type="character" w:customStyle="1" w:styleId="FontStyle20">
    <w:name w:val="Font Style20"/>
    <w:basedOn w:val="DefaultParagraphFont"/>
    <w:uiPriority w:val="99"/>
    <w:rsid w:val="00B16B01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B16B01"/>
    <w:rPr>
      <w:rFonts w:ascii="Arial" w:hAnsi="Arial" w:cs="Arial"/>
      <w:b/>
      <w:bCs/>
      <w:spacing w:val="-1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16B01"/>
    <w:rPr>
      <w:rFonts w:ascii="Arial" w:hAnsi="Arial" w:cs="Arial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B16B01"/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1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F2"/>
  </w:style>
  <w:style w:type="paragraph" w:styleId="Heading3">
    <w:name w:val="heading 3"/>
    <w:basedOn w:val="Normal"/>
    <w:link w:val="Heading3Char"/>
    <w:qFormat/>
    <w:rsid w:val="0025219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bg-BG"/>
    </w:rPr>
  </w:style>
  <w:style w:type="paragraph" w:styleId="Heading6">
    <w:name w:val="heading 6"/>
    <w:basedOn w:val="Normal"/>
    <w:link w:val="Heading6Char"/>
    <w:qFormat/>
    <w:rsid w:val="0025219E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9F"/>
  </w:style>
  <w:style w:type="paragraph" w:styleId="Footer">
    <w:name w:val="footer"/>
    <w:basedOn w:val="Normal"/>
    <w:link w:val="FooterChar"/>
    <w:uiPriority w:val="99"/>
    <w:unhideWhenUsed/>
    <w:rsid w:val="006F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9F"/>
  </w:style>
  <w:style w:type="paragraph" w:styleId="BalloonText">
    <w:name w:val="Balloon Text"/>
    <w:basedOn w:val="Normal"/>
    <w:link w:val="BalloonTextChar"/>
    <w:uiPriority w:val="99"/>
    <w:semiHidden/>
    <w:unhideWhenUsed/>
    <w:rsid w:val="006F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9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DF36D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en-US"/>
    </w:rPr>
  </w:style>
  <w:style w:type="paragraph" w:customStyle="1" w:styleId="Style5">
    <w:name w:val="Style5"/>
    <w:basedOn w:val="Normal"/>
    <w:uiPriority w:val="99"/>
    <w:rsid w:val="00DF36D2"/>
    <w:pPr>
      <w:widowControl w:val="0"/>
      <w:autoSpaceDE w:val="0"/>
      <w:autoSpaceDN w:val="0"/>
      <w:adjustRightInd w:val="0"/>
      <w:spacing w:after="0" w:line="262" w:lineRule="exact"/>
    </w:pPr>
    <w:rPr>
      <w:rFonts w:eastAsia="Times New Roman"/>
      <w:lang w:val="en-US"/>
    </w:rPr>
  </w:style>
  <w:style w:type="paragraph" w:customStyle="1" w:styleId="Style7">
    <w:name w:val="Style7"/>
    <w:basedOn w:val="Normal"/>
    <w:uiPriority w:val="99"/>
    <w:rsid w:val="00DF36D2"/>
    <w:pPr>
      <w:widowControl w:val="0"/>
      <w:autoSpaceDE w:val="0"/>
      <w:autoSpaceDN w:val="0"/>
      <w:adjustRightInd w:val="0"/>
      <w:spacing w:after="0" w:line="264" w:lineRule="exact"/>
      <w:ind w:firstLine="821"/>
      <w:jc w:val="both"/>
    </w:pPr>
    <w:rPr>
      <w:rFonts w:eastAsia="Times New Roman"/>
      <w:lang w:val="en-US"/>
    </w:rPr>
  </w:style>
  <w:style w:type="character" w:customStyle="1" w:styleId="FontStyle11">
    <w:name w:val="Font Style11"/>
    <w:uiPriority w:val="99"/>
    <w:rsid w:val="00DF36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DF36D2"/>
    <w:rPr>
      <w:rFonts w:ascii="Lucida Sans Unicode" w:hAnsi="Lucida Sans Unicode" w:cs="Lucida Sans Unicode"/>
      <w:sz w:val="18"/>
      <w:szCs w:val="18"/>
    </w:rPr>
  </w:style>
  <w:style w:type="paragraph" w:customStyle="1" w:styleId="Style6">
    <w:name w:val="Style6"/>
    <w:basedOn w:val="Normal"/>
    <w:uiPriority w:val="99"/>
    <w:rsid w:val="00DF36D2"/>
    <w:pPr>
      <w:widowControl w:val="0"/>
      <w:autoSpaceDE w:val="0"/>
      <w:autoSpaceDN w:val="0"/>
      <w:adjustRightInd w:val="0"/>
      <w:spacing w:after="0" w:line="264" w:lineRule="exact"/>
      <w:ind w:firstLine="821"/>
      <w:jc w:val="both"/>
    </w:pPr>
    <w:rPr>
      <w:rFonts w:eastAsia="Times New Roman"/>
      <w:lang w:val="en-US"/>
    </w:rPr>
  </w:style>
  <w:style w:type="character" w:customStyle="1" w:styleId="FontStyle13">
    <w:name w:val="Font Style13"/>
    <w:uiPriority w:val="99"/>
    <w:rsid w:val="00DF36D2"/>
    <w:rPr>
      <w:rFonts w:ascii="Lucida Sans Unicode" w:hAnsi="Lucida Sans Unicode" w:cs="Lucida Sans Unicode"/>
      <w:sz w:val="18"/>
      <w:szCs w:val="18"/>
    </w:rPr>
  </w:style>
  <w:style w:type="paragraph" w:customStyle="1" w:styleId="Style2">
    <w:name w:val="Style2"/>
    <w:basedOn w:val="Normal"/>
    <w:uiPriority w:val="99"/>
    <w:rsid w:val="00DF36D2"/>
    <w:pPr>
      <w:widowControl w:val="0"/>
      <w:autoSpaceDE w:val="0"/>
      <w:autoSpaceDN w:val="0"/>
      <w:adjustRightInd w:val="0"/>
      <w:spacing w:after="0" w:line="264" w:lineRule="exact"/>
      <w:ind w:firstLine="1694"/>
      <w:jc w:val="both"/>
    </w:pPr>
    <w:rPr>
      <w:rFonts w:eastAsia="Times New Roman"/>
      <w:lang w:val="en-US"/>
    </w:rPr>
  </w:style>
  <w:style w:type="paragraph" w:customStyle="1" w:styleId="Style1">
    <w:name w:val="Style1"/>
    <w:basedOn w:val="Normal"/>
    <w:uiPriority w:val="99"/>
    <w:rsid w:val="00DF36D2"/>
    <w:pPr>
      <w:widowControl w:val="0"/>
      <w:autoSpaceDE w:val="0"/>
      <w:autoSpaceDN w:val="0"/>
      <w:adjustRightInd w:val="0"/>
      <w:spacing w:after="0" w:line="384" w:lineRule="exact"/>
      <w:ind w:hanging="691"/>
    </w:pPr>
    <w:rPr>
      <w:rFonts w:eastAsia="Times New Roman"/>
      <w:lang w:val="en-US"/>
    </w:rPr>
  </w:style>
  <w:style w:type="character" w:styleId="Hyperlink">
    <w:name w:val="Hyperlink"/>
    <w:uiPriority w:val="99"/>
    <w:rsid w:val="00DF36D2"/>
    <w:rPr>
      <w:color w:val="000080"/>
      <w:u w:val="single"/>
    </w:rPr>
  </w:style>
  <w:style w:type="paragraph" w:styleId="NoSpacing">
    <w:name w:val="No Spacing"/>
    <w:uiPriority w:val="1"/>
    <w:qFormat/>
    <w:rsid w:val="004F20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70E1"/>
    <w:pPr>
      <w:ind w:left="720"/>
      <w:contextualSpacing/>
    </w:pPr>
  </w:style>
  <w:style w:type="paragraph" w:styleId="Title">
    <w:name w:val="Title"/>
    <w:basedOn w:val="Normal"/>
    <w:link w:val="TitleChar"/>
    <w:qFormat/>
    <w:rsid w:val="00BE6A70"/>
    <w:pPr>
      <w:spacing w:after="0" w:line="240" w:lineRule="auto"/>
      <w:jc w:val="center"/>
    </w:pPr>
    <w:rPr>
      <w:rFonts w:eastAsia="Times New Roman"/>
      <w:b/>
      <w:sz w:val="32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BE6A70"/>
    <w:rPr>
      <w:rFonts w:eastAsia="Times New Roman"/>
      <w:b/>
      <w:sz w:val="32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25219E"/>
    <w:rPr>
      <w:rFonts w:eastAsia="Times New Roman"/>
      <w:b/>
      <w:bCs/>
      <w:sz w:val="27"/>
      <w:szCs w:val="27"/>
      <w:lang w:eastAsia="bg-BG"/>
    </w:rPr>
  </w:style>
  <w:style w:type="character" w:customStyle="1" w:styleId="Heading6Char">
    <w:name w:val="Heading 6 Char"/>
    <w:basedOn w:val="DefaultParagraphFont"/>
    <w:link w:val="Heading6"/>
    <w:rsid w:val="0025219E"/>
    <w:rPr>
      <w:rFonts w:eastAsia="Times New Roman"/>
      <w:b/>
      <w:bCs/>
      <w:sz w:val="15"/>
      <w:szCs w:val="15"/>
      <w:lang w:eastAsia="bg-BG"/>
    </w:rPr>
  </w:style>
  <w:style w:type="paragraph" w:styleId="NormalWeb">
    <w:name w:val="Normal (Web)"/>
    <w:basedOn w:val="Normal"/>
    <w:rsid w:val="0025219E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Style3">
    <w:name w:val="Style3"/>
    <w:basedOn w:val="Normal"/>
    <w:uiPriority w:val="99"/>
    <w:rsid w:val="00B16B01"/>
    <w:pPr>
      <w:widowControl w:val="0"/>
      <w:autoSpaceDE w:val="0"/>
      <w:autoSpaceDN w:val="0"/>
      <w:adjustRightInd w:val="0"/>
      <w:spacing w:after="0" w:line="168" w:lineRule="exact"/>
      <w:ind w:firstLine="715"/>
    </w:pPr>
    <w:rPr>
      <w:rFonts w:ascii="Arial" w:eastAsiaTheme="minorEastAsia" w:hAnsi="Arial" w:cs="Arial"/>
      <w:lang w:eastAsia="bg-BG"/>
    </w:rPr>
  </w:style>
  <w:style w:type="paragraph" w:customStyle="1" w:styleId="Style12">
    <w:name w:val="Style12"/>
    <w:basedOn w:val="Normal"/>
    <w:uiPriority w:val="99"/>
    <w:rsid w:val="00B16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bg-BG"/>
    </w:rPr>
  </w:style>
  <w:style w:type="paragraph" w:customStyle="1" w:styleId="Style14">
    <w:name w:val="Style14"/>
    <w:basedOn w:val="Normal"/>
    <w:uiPriority w:val="99"/>
    <w:rsid w:val="00B16B01"/>
    <w:pPr>
      <w:widowControl w:val="0"/>
      <w:autoSpaceDE w:val="0"/>
      <w:autoSpaceDN w:val="0"/>
      <w:adjustRightInd w:val="0"/>
      <w:spacing w:after="0" w:line="245" w:lineRule="exact"/>
      <w:ind w:firstLine="710"/>
      <w:jc w:val="both"/>
    </w:pPr>
    <w:rPr>
      <w:rFonts w:ascii="Arial" w:eastAsiaTheme="minorEastAsia" w:hAnsi="Arial" w:cs="Arial"/>
      <w:lang w:eastAsia="bg-BG"/>
    </w:rPr>
  </w:style>
  <w:style w:type="paragraph" w:customStyle="1" w:styleId="Style15">
    <w:name w:val="Style15"/>
    <w:basedOn w:val="Normal"/>
    <w:uiPriority w:val="99"/>
    <w:rsid w:val="00B16B01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Theme="minorEastAsia" w:hAnsi="Arial" w:cs="Arial"/>
      <w:lang w:eastAsia="bg-BG"/>
    </w:rPr>
  </w:style>
  <w:style w:type="paragraph" w:customStyle="1" w:styleId="Style16">
    <w:name w:val="Style16"/>
    <w:basedOn w:val="Normal"/>
    <w:uiPriority w:val="99"/>
    <w:rsid w:val="00B16B01"/>
    <w:pPr>
      <w:widowControl w:val="0"/>
      <w:autoSpaceDE w:val="0"/>
      <w:autoSpaceDN w:val="0"/>
      <w:adjustRightInd w:val="0"/>
      <w:spacing w:after="0" w:line="240" w:lineRule="exact"/>
      <w:ind w:firstLine="725"/>
      <w:jc w:val="both"/>
    </w:pPr>
    <w:rPr>
      <w:rFonts w:ascii="Arial" w:eastAsiaTheme="minorEastAsia" w:hAnsi="Arial" w:cs="Arial"/>
      <w:lang w:eastAsia="bg-BG"/>
    </w:rPr>
  </w:style>
  <w:style w:type="character" w:customStyle="1" w:styleId="FontStyle18">
    <w:name w:val="Font Style18"/>
    <w:basedOn w:val="DefaultParagraphFont"/>
    <w:uiPriority w:val="99"/>
    <w:rsid w:val="00B16B01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B16B01"/>
    <w:rPr>
      <w:rFonts w:ascii="Arial" w:hAnsi="Arial" w:cs="Arial"/>
      <w:smallCaps/>
      <w:spacing w:val="10"/>
      <w:sz w:val="32"/>
      <w:szCs w:val="32"/>
    </w:rPr>
  </w:style>
  <w:style w:type="character" w:customStyle="1" w:styleId="FontStyle20">
    <w:name w:val="Font Style20"/>
    <w:basedOn w:val="DefaultParagraphFont"/>
    <w:uiPriority w:val="99"/>
    <w:rsid w:val="00B16B01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B16B01"/>
    <w:rPr>
      <w:rFonts w:ascii="Arial" w:hAnsi="Arial" w:cs="Arial"/>
      <w:b/>
      <w:bCs/>
      <w:spacing w:val="-1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16B01"/>
    <w:rPr>
      <w:rFonts w:ascii="Arial" w:hAnsi="Arial" w:cs="Arial"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B16B01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19B6-B5E1-49DC-BE7E-1256C6E2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ankiriakov.40</dc:creator>
  <cp:lastModifiedBy>Kristiana Tancheva</cp:lastModifiedBy>
  <cp:revision>3</cp:revision>
  <cp:lastPrinted>2019-07-24T04:02:00Z</cp:lastPrinted>
  <dcterms:created xsi:type="dcterms:W3CDTF">2020-05-19T08:03:00Z</dcterms:created>
  <dcterms:modified xsi:type="dcterms:W3CDTF">2020-05-19T08:08:00Z</dcterms:modified>
</cp:coreProperties>
</file>