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07" w:rsidRPr="00BC32F3" w:rsidRDefault="005B758E" w:rsidP="005B758E">
      <w:pPr>
        <w:pStyle w:val="a3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Приложение 1.6</w:t>
      </w:r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>ДОКЛАД ЗА ДЕЙНОСТТА</w:t>
      </w:r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 xml:space="preserve">НА „ВИК”ООД СИЛИСТРА </w:t>
      </w:r>
    </w:p>
    <w:p w:rsidR="00FE1407" w:rsidRPr="00F00C94" w:rsidRDefault="00FE1407" w:rsidP="00B8068B">
      <w:pPr>
        <w:pStyle w:val="a3"/>
        <w:jc w:val="center"/>
        <w:rPr>
          <w:b/>
          <w:bCs/>
        </w:rPr>
      </w:pPr>
      <w:r w:rsidRPr="00F00C94">
        <w:rPr>
          <w:b/>
          <w:bCs/>
        </w:rPr>
        <w:t xml:space="preserve">ЗА  </w:t>
      </w:r>
      <w:r w:rsidR="00BC32F3">
        <w:rPr>
          <w:b/>
          <w:bCs/>
          <w:lang w:val="en-US"/>
        </w:rPr>
        <w:t>I</w:t>
      </w:r>
      <w:r w:rsidR="0096189E">
        <w:rPr>
          <w:b/>
          <w:bCs/>
          <w:lang w:val="en-US"/>
        </w:rPr>
        <w:t>I</w:t>
      </w:r>
      <w:r w:rsidR="00BC32F3">
        <w:rPr>
          <w:b/>
          <w:bCs/>
          <w:lang w:val="en-US"/>
        </w:rPr>
        <w:t xml:space="preserve"> – </w:t>
      </w:r>
      <w:r w:rsidR="0096189E">
        <w:rPr>
          <w:b/>
          <w:bCs/>
        </w:rPr>
        <w:t>Р</w:t>
      </w:r>
      <w:r w:rsidR="00BC32F3">
        <w:rPr>
          <w:b/>
          <w:bCs/>
        </w:rPr>
        <w:t xml:space="preserve">О ТРИМЕСЕЧИЕ НА </w:t>
      </w:r>
      <w:r w:rsidRPr="00F00C94">
        <w:rPr>
          <w:b/>
          <w:bCs/>
        </w:rPr>
        <w:t>20</w:t>
      </w:r>
      <w:r w:rsidR="00BC32F3">
        <w:rPr>
          <w:b/>
          <w:bCs/>
        </w:rPr>
        <w:t>20</w:t>
      </w:r>
      <w:r>
        <w:rPr>
          <w:b/>
          <w:bCs/>
        </w:rPr>
        <w:t xml:space="preserve"> </w:t>
      </w:r>
      <w:r w:rsidRPr="00F00C94">
        <w:rPr>
          <w:b/>
          <w:bCs/>
        </w:rPr>
        <w:t>Г.</w:t>
      </w: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Default="00FE1407" w:rsidP="00B8068B">
      <w:pPr>
        <w:pStyle w:val="a3"/>
        <w:rPr>
          <w:rFonts w:cs="Times New Roman"/>
          <w:b/>
          <w:bCs/>
          <w:lang w:val="en-US"/>
        </w:rPr>
      </w:pPr>
      <w:r w:rsidRPr="00F00C94">
        <w:rPr>
          <w:b/>
          <w:bCs/>
        </w:rPr>
        <w:t>ФИРМЕН ПРОФИЛ</w:t>
      </w:r>
    </w:p>
    <w:p w:rsidR="00FE1407" w:rsidRPr="00315188" w:rsidRDefault="00FE1407" w:rsidP="00B8068B">
      <w:pPr>
        <w:pStyle w:val="a3"/>
        <w:rPr>
          <w:rFonts w:cs="Times New Roman"/>
          <w:b/>
          <w:bCs/>
          <w:lang w:val="en-US"/>
        </w:rPr>
      </w:pPr>
    </w:p>
    <w:p w:rsidR="00FE1407" w:rsidRPr="00F00C94" w:rsidRDefault="00FE1407" w:rsidP="00B8068B">
      <w:pPr>
        <w:pStyle w:val="a3"/>
      </w:pPr>
      <w:r w:rsidRPr="00F00C94">
        <w:t>Наименование –„Водоснабдяване и канализация” ООД Силистра</w:t>
      </w:r>
    </w:p>
    <w:p w:rsidR="00FE1407" w:rsidRPr="00F00C94" w:rsidRDefault="00FE1407" w:rsidP="00B8068B">
      <w:pPr>
        <w:pStyle w:val="a3"/>
      </w:pPr>
      <w:r w:rsidRPr="00F00C94">
        <w:t>Седалище-гр. Силистра, ул.”Баба Тонка” №19</w:t>
      </w:r>
    </w:p>
    <w:p w:rsidR="00FE1407" w:rsidRPr="00F00C94" w:rsidRDefault="00FE1407" w:rsidP="00B8068B">
      <w:pPr>
        <w:pStyle w:val="a3"/>
      </w:pPr>
      <w:r w:rsidRPr="00F00C94">
        <w:t>Телефон-086/820-559</w:t>
      </w:r>
    </w:p>
    <w:p w:rsidR="00FE1407" w:rsidRPr="00F00C94" w:rsidRDefault="00FE1407" w:rsidP="00B8068B">
      <w:pPr>
        <w:pStyle w:val="a3"/>
      </w:pPr>
      <w:r w:rsidRPr="00F00C94">
        <w:t xml:space="preserve">Регистрация:Вписано в регистъра на търговските дружества по фирмено дело №2041/1991г.по описа на Силистренски окръжен съд, БУЛСТАТ 828050351       </w:t>
      </w:r>
    </w:p>
    <w:p w:rsidR="00FE1407" w:rsidRDefault="00FE1407" w:rsidP="00B8068B">
      <w:pPr>
        <w:pStyle w:val="a3"/>
        <w:rPr>
          <w:rFonts w:cs="Times New Roman"/>
          <w:lang w:val="en-US"/>
        </w:rPr>
      </w:pPr>
      <w:r w:rsidRPr="00F00C94">
        <w:t xml:space="preserve">Дружеството е с регистриран капитал192410 лв, разпределен на 19241 бр акции/дялове/ всяка с номинал  10  лв. </w:t>
      </w:r>
    </w:p>
    <w:p w:rsidR="00FE1407" w:rsidRPr="00315188" w:rsidRDefault="00FE1407" w:rsidP="00B8068B">
      <w:pPr>
        <w:pStyle w:val="a3"/>
        <w:rPr>
          <w:rFonts w:cs="Times New Roman"/>
          <w:lang w:val="en-US"/>
        </w:rPr>
      </w:pPr>
    </w:p>
    <w:p w:rsidR="00FE1407" w:rsidRPr="00F00C94" w:rsidRDefault="00FE1407" w:rsidP="00B8068B">
      <w:pPr>
        <w:pStyle w:val="a3"/>
      </w:pPr>
      <w:r w:rsidRPr="00F00C94">
        <w:t>Дружеството е с едностепенна  система на управление.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>Изпълнителен директор: Управител: инж. Васил Ников Боранов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315188">
      <w:pPr>
        <w:pStyle w:val="a3"/>
        <w:jc w:val="both"/>
      </w:pPr>
      <w:r w:rsidRPr="00F00C94">
        <w:t>Предметът  на дейност на дружеството съгласно съдебна регистрация е: Проучване, проектиране, изграждане, поддържане и управление на водоснабдителните, канализационни, електро и топлоенергийни системи и пречиствателни станции, транспортна и търговска дейност, СМР услуги в страната и зад граница.</w:t>
      </w: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Default="00FE1407" w:rsidP="00B8068B">
      <w:pPr>
        <w:pStyle w:val="a3"/>
        <w:rPr>
          <w:rFonts w:cs="Times New Roman"/>
          <w:b/>
          <w:bCs/>
          <w:lang w:val="en-US"/>
        </w:rPr>
      </w:pPr>
      <w:r w:rsidRPr="00F00C94">
        <w:rPr>
          <w:b/>
          <w:bCs/>
        </w:rPr>
        <w:t>ПРОИЗВОДСТВЕНА ДЕЙНОСТ</w:t>
      </w:r>
    </w:p>
    <w:p w:rsidR="00FE1407" w:rsidRPr="00315188" w:rsidRDefault="00FE1407" w:rsidP="00B8068B">
      <w:pPr>
        <w:pStyle w:val="a3"/>
        <w:rPr>
          <w:rFonts w:cs="Times New Roman"/>
          <w:b/>
          <w:bCs/>
          <w:lang w:val="en-US"/>
        </w:rPr>
      </w:pPr>
    </w:p>
    <w:p w:rsidR="00FE1407" w:rsidRDefault="00FE1407" w:rsidP="00B8068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>Дружеството осъществява непрекъснато водоподаване за всички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F6E00">
        <w:rPr>
          <w:rFonts w:ascii="Calibri" w:hAnsi="Calibri" w:cs="Calibri"/>
          <w:sz w:val="22"/>
          <w:szCs w:val="22"/>
          <w:lang w:val="en-US"/>
        </w:rPr>
        <w:t>72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968E1">
        <w:rPr>
          <w:rFonts w:ascii="Calibri" w:hAnsi="Calibri" w:cs="Calibri"/>
          <w:sz w:val="22"/>
          <w:szCs w:val="22"/>
        </w:rPr>
        <w:t>302</w:t>
      </w:r>
      <w:r w:rsidRPr="00F00C94">
        <w:rPr>
          <w:rFonts w:ascii="Calibri" w:hAnsi="Calibri" w:cs="Calibri"/>
          <w:sz w:val="22"/>
          <w:szCs w:val="22"/>
        </w:rPr>
        <w:t xml:space="preserve"> бр.  потребители в областта, чрез предоставянето на качествена “В и К” услуга. През</w:t>
      </w:r>
      <w:r w:rsidR="00BC32F3">
        <w:rPr>
          <w:rFonts w:ascii="Calibri" w:hAnsi="Calibri" w:cs="Calibri"/>
          <w:sz w:val="22"/>
          <w:szCs w:val="22"/>
        </w:rPr>
        <w:t xml:space="preserve"> </w:t>
      </w:r>
      <w:r w:rsidR="0096189E">
        <w:rPr>
          <w:rFonts w:ascii="Calibri" w:hAnsi="Calibri" w:cs="Calibri"/>
          <w:sz w:val="22"/>
          <w:szCs w:val="22"/>
          <w:lang w:val="en-US"/>
        </w:rPr>
        <w:t>I</w:t>
      </w:r>
      <w:r w:rsidR="00BC32F3">
        <w:rPr>
          <w:rFonts w:ascii="Calibri" w:hAnsi="Calibri" w:cs="Calibri"/>
          <w:sz w:val="22"/>
          <w:szCs w:val="22"/>
        </w:rPr>
        <w:t>I-</w:t>
      </w:r>
      <w:r w:rsidR="0096189E">
        <w:rPr>
          <w:rFonts w:ascii="Calibri" w:hAnsi="Calibri" w:cs="Calibri"/>
          <w:sz w:val="22"/>
          <w:szCs w:val="22"/>
        </w:rPr>
        <w:t>р</w:t>
      </w:r>
      <w:r w:rsidR="00BC32F3">
        <w:rPr>
          <w:rFonts w:ascii="Calibri" w:hAnsi="Calibri" w:cs="Calibri"/>
          <w:sz w:val="22"/>
          <w:szCs w:val="22"/>
        </w:rPr>
        <w:t xml:space="preserve">о тримесечие на </w:t>
      </w:r>
      <w:r w:rsidRPr="00F00C94">
        <w:rPr>
          <w:rFonts w:ascii="Calibri" w:hAnsi="Calibri" w:cs="Calibri"/>
          <w:sz w:val="22"/>
          <w:szCs w:val="22"/>
        </w:rPr>
        <w:t>20</w:t>
      </w:r>
      <w:r w:rsidR="00BC32F3">
        <w:rPr>
          <w:rFonts w:ascii="Calibri" w:hAnsi="Calibri" w:cs="Calibri"/>
          <w:sz w:val="22"/>
          <w:szCs w:val="22"/>
        </w:rPr>
        <w:t>20</w:t>
      </w:r>
      <w:r w:rsidRPr="00F00C94">
        <w:rPr>
          <w:rFonts w:ascii="Calibri" w:hAnsi="Calibri" w:cs="Calibri"/>
          <w:sz w:val="22"/>
          <w:szCs w:val="22"/>
        </w:rPr>
        <w:t>г. са подаде</w:t>
      </w:r>
      <w:r w:rsidRPr="00F00C94">
        <w:rPr>
          <w:rFonts w:ascii="Calibri" w:hAnsi="Calibri" w:cs="Calibri"/>
          <w:sz w:val="22"/>
          <w:szCs w:val="22"/>
          <w:lang w:val="en-US"/>
        </w:rPr>
        <w:t>ни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r w:rsidR="00C37740">
        <w:rPr>
          <w:rFonts w:ascii="Calibri" w:hAnsi="Calibri" w:cs="Calibri"/>
          <w:sz w:val="22"/>
          <w:szCs w:val="22"/>
        </w:rPr>
        <w:t>2694</w:t>
      </w:r>
      <w:r w:rsidRPr="00B93E5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хил.м³ питейна вода, отговаряща на изискванията на Наредба № 9/16.03.01 г. за качествата на питейната вода. Отведени са</w:t>
      </w:r>
      <w:r>
        <w:rPr>
          <w:rFonts w:ascii="Calibri" w:hAnsi="Calibri" w:cs="Calibri"/>
          <w:sz w:val="22"/>
          <w:szCs w:val="22"/>
        </w:rPr>
        <w:t xml:space="preserve"> </w:t>
      </w:r>
      <w:r w:rsidR="00C37740">
        <w:rPr>
          <w:rFonts w:ascii="Calibri" w:hAnsi="Calibri" w:cs="Calibri"/>
          <w:sz w:val="22"/>
          <w:szCs w:val="22"/>
        </w:rPr>
        <w:t>482</w:t>
      </w:r>
      <w:r w:rsidRPr="00F00C94">
        <w:rPr>
          <w:rFonts w:ascii="Calibri" w:hAnsi="Calibri" w:cs="Calibri"/>
          <w:sz w:val="22"/>
          <w:szCs w:val="22"/>
        </w:rPr>
        <w:t xml:space="preserve"> хил.м³ отпадни водни количества. </w:t>
      </w:r>
      <w:r>
        <w:rPr>
          <w:rFonts w:ascii="Calibri" w:hAnsi="Calibri" w:cs="Calibri"/>
          <w:sz w:val="22"/>
          <w:szCs w:val="22"/>
        </w:rPr>
        <w:t xml:space="preserve">Пречистени са </w:t>
      </w:r>
      <w:r w:rsidR="00C37740">
        <w:rPr>
          <w:rFonts w:ascii="Calibri" w:hAnsi="Calibri" w:cs="Calibri"/>
          <w:sz w:val="22"/>
          <w:szCs w:val="22"/>
        </w:rPr>
        <w:t>407</w:t>
      </w:r>
      <w:r>
        <w:rPr>
          <w:rFonts w:ascii="Calibri" w:hAnsi="Calibri" w:cs="Calibri"/>
          <w:sz w:val="22"/>
          <w:szCs w:val="22"/>
        </w:rPr>
        <w:t xml:space="preserve"> хил.м3 отпадъчни води. </w:t>
      </w:r>
    </w:p>
    <w:p w:rsidR="00FE1407" w:rsidRPr="00315188" w:rsidRDefault="00FE1407" w:rsidP="00B8068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9623AD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През</w:t>
      </w:r>
      <w:r>
        <w:rPr>
          <w:rFonts w:ascii="Calibri" w:hAnsi="Calibri" w:cs="Calibri"/>
          <w:sz w:val="22"/>
          <w:szCs w:val="22"/>
        </w:rPr>
        <w:t xml:space="preserve"> </w:t>
      </w:r>
      <w:r w:rsidR="00BC32F3">
        <w:rPr>
          <w:rFonts w:ascii="Calibri" w:hAnsi="Calibri" w:cs="Calibri"/>
          <w:sz w:val="22"/>
          <w:szCs w:val="22"/>
        </w:rPr>
        <w:t>I</w:t>
      </w:r>
      <w:r w:rsidR="0096189E">
        <w:rPr>
          <w:rFonts w:ascii="Calibri" w:hAnsi="Calibri" w:cs="Calibri"/>
          <w:sz w:val="22"/>
          <w:szCs w:val="22"/>
          <w:lang w:val="en-US"/>
        </w:rPr>
        <w:t>I</w:t>
      </w:r>
      <w:r w:rsidR="0096189E">
        <w:rPr>
          <w:rFonts w:ascii="Calibri" w:hAnsi="Calibri" w:cs="Calibri"/>
          <w:sz w:val="22"/>
          <w:szCs w:val="22"/>
        </w:rPr>
        <w:t>-р</w:t>
      </w:r>
      <w:r w:rsidR="00BC32F3">
        <w:rPr>
          <w:rFonts w:ascii="Calibri" w:hAnsi="Calibri" w:cs="Calibri"/>
          <w:sz w:val="22"/>
          <w:szCs w:val="22"/>
        </w:rPr>
        <w:t xml:space="preserve">о тримесечие на </w:t>
      </w:r>
      <w:r w:rsidR="00BC32F3" w:rsidRPr="00F00C94">
        <w:rPr>
          <w:rFonts w:ascii="Calibri" w:hAnsi="Calibri" w:cs="Calibri"/>
          <w:sz w:val="22"/>
          <w:szCs w:val="22"/>
        </w:rPr>
        <w:t>20</w:t>
      </w:r>
      <w:r w:rsidR="00BC32F3">
        <w:rPr>
          <w:rFonts w:ascii="Calibri" w:hAnsi="Calibri" w:cs="Calibri"/>
          <w:sz w:val="22"/>
          <w:szCs w:val="22"/>
        </w:rPr>
        <w:t>20</w:t>
      </w:r>
      <w:r w:rsidR="00BC32F3" w:rsidRPr="00F00C94">
        <w:rPr>
          <w:rFonts w:ascii="Calibri" w:hAnsi="Calibri" w:cs="Calibri"/>
          <w:sz w:val="22"/>
          <w:szCs w:val="22"/>
        </w:rPr>
        <w:t>г.</w:t>
      </w:r>
      <w:r w:rsidRPr="00F00C94">
        <w:rPr>
          <w:rFonts w:ascii="Calibri" w:hAnsi="Calibri" w:cs="Calibri"/>
          <w:sz w:val="22"/>
          <w:szCs w:val="22"/>
        </w:rPr>
        <w:t xml:space="preserve">няма населени места в област Силистра с режимно водоснабдяване, поради недостиг на  вода за питейно-битови нужди. Прекъсване на  водоподаването се налага при производствено-аварийната дейност, вследствие амортизираните водопроводна мрежа и сградни водопроводни отклонения; планово - при включване на нови потребители или на реконструирани водопроводи от довеждащата и/или разпределителна мрежи; годишна профилактика на водопроводи и съоръжения към тях. </w:t>
      </w:r>
      <w:r w:rsidRPr="009623AD">
        <w:rPr>
          <w:rFonts w:ascii="Calibri" w:hAnsi="Calibri" w:cs="Calibri"/>
          <w:sz w:val="22"/>
          <w:szCs w:val="22"/>
        </w:rPr>
        <w:t xml:space="preserve">През отчетния период са извършени  общо </w:t>
      </w:r>
      <w:r w:rsidR="00C37740">
        <w:rPr>
          <w:rFonts w:ascii="Calibri" w:hAnsi="Calibri" w:cs="Calibri"/>
          <w:sz w:val="22"/>
          <w:szCs w:val="22"/>
        </w:rPr>
        <w:t>320</w:t>
      </w:r>
      <w:r w:rsidR="00BD645C" w:rsidRPr="009623AD">
        <w:rPr>
          <w:rFonts w:ascii="Calibri" w:hAnsi="Calibri" w:cs="Calibri"/>
          <w:sz w:val="22"/>
          <w:szCs w:val="22"/>
        </w:rPr>
        <w:t xml:space="preserve"> </w:t>
      </w:r>
      <w:r w:rsidRPr="009623AD">
        <w:rPr>
          <w:rFonts w:ascii="Calibri" w:hAnsi="Calibri" w:cs="Calibri"/>
          <w:sz w:val="22"/>
          <w:szCs w:val="22"/>
        </w:rPr>
        <w:t xml:space="preserve">бр. прекъсвания, поради отстраняване на аварии, от които </w:t>
      </w:r>
      <w:r w:rsidR="00C37740">
        <w:rPr>
          <w:rFonts w:ascii="Calibri" w:hAnsi="Calibri" w:cs="Calibri"/>
          <w:sz w:val="22"/>
          <w:szCs w:val="22"/>
        </w:rPr>
        <w:t>79</w:t>
      </w:r>
      <w:r w:rsidRPr="009623AD">
        <w:rPr>
          <w:rFonts w:ascii="Calibri" w:hAnsi="Calibri" w:cs="Calibri"/>
          <w:sz w:val="22"/>
          <w:szCs w:val="22"/>
        </w:rPr>
        <w:t xml:space="preserve"> бр.  по довеждащи водопроводи, </w:t>
      </w:r>
      <w:r w:rsidR="007B5167" w:rsidRPr="009623AD">
        <w:rPr>
          <w:rFonts w:ascii="Calibri" w:hAnsi="Calibri" w:cs="Calibri"/>
          <w:sz w:val="22"/>
          <w:szCs w:val="22"/>
        </w:rPr>
        <w:t xml:space="preserve">и </w:t>
      </w:r>
      <w:r w:rsidRPr="009623AD">
        <w:rPr>
          <w:rFonts w:ascii="Calibri" w:hAnsi="Calibri" w:cs="Calibri"/>
          <w:sz w:val="22"/>
          <w:szCs w:val="22"/>
        </w:rPr>
        <w:t xml:space="preserve">по ВВМ – </w:t>
      </w:r>
      <w:r w:rsidR="00C37740">
        <w:rPr>
          <w:rFonts w:ascii="Calibri" w:hAnsi="Calibri" w:cs="Calibri"/>
          <w:sz w:val="22"/>
          <w:szCs w:val="22"/>
        </w:rPr>
        <w:t>167</w:t>
      </w:r>
      <w:r w:rsidRPr="009623AD">
        <w:rPr>
          <w:rFonts w:ascii="Calibri" w:hAnsi="Calibri" w:cs="Calibri"/>
          <w:sz w:val="22"/>
          <w:szCs w:val="22"/>
        </w:rPr>
        <w:t xml:space="preserve"> бр.</w:t>
      </w:r>
      <w:r w:rsidR="005B28A9" w:rsidRPr="009623AD">
        <w:rPr>
          <w:rFonts w:ascii="Calibri" w:hAnsi="Calibri" w:cs="Calibri"/>
          <w:sz w:val="22"/>
          <w:szCs w:val="22"/>
        </w:rPr>
        <w:t>, в СВО-</w:t>
      </w:r>
      <w:r w:rsidR="00C37740">
        <w:rPr>
          <w:rFonts w:ascii="Calibri" w:hAnsi="Calibri" w:cs="Calibri"/>
          <w:sz w:val="22"/>
          <w:szCs w:val="22"/>
        </w:rPr>
        <w:t>65</w:t>
      </w:r>
      <w:r w:rsidR="005B28A9" w:rsidRPr="009623AD">
        <w:rPr>
          <w:rFonts w:ascii="Calibri" w:hAnsi="Calibri" w:cs="Calibri"/>
          <w:sz w:val="22"/>
          <w:szCs w:val="22"/>
        </w:rPr>
        <w:t xml:space="preserve"> бр., </w:t>
      </w:r>
      <w:r w:rsidR="00C37740">
        <w:rPr>
          <w:rFonts w:ascii="Calibri" w:hAnsi="Calibri" w:cs="Calibri"/>
          <w:sz w:val="22"/>
          <w:szCs w:val="22"/>
        </w:rPr>
        <w:t>8</w:t>
      </w:r>
      <w:r w:rsidR="005B28A9" w:rsidRPr="009623AD">
        <w:rPr>
          <w:rFonts w:ascii="Calibri" w:hAnsi="Calibri" w:cs="Calibri"/>
          <w:sz w:val="22"/>
          <w:szCs w:val="22"/>
        </w:rPr>
        <w:t xml:space="preserve"> бр.аварии на ПС за питейна вода и 1 бр.аварии в кранове и хидранти</w:t>
      </w:r>
      <w:r w:rsidRPr="009623AD">
        <w:rPr>
          <w:rFonts w:ascii="Calibri" w:hAnsi="Calibri" w:cs="Calibri"/>
          <w:sz w:val="22"/>
          <w:szCs w:val="22"/>
        </w:rPr>
        <w:t xml:space="preserve">  като повечето са приключили в рамките на обявеното време.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</w:t>
      </w:r>
      <w:bookmarkStart w:id="0" w:name="_GoBack"/>
      <w:bookmarkEnd w:id="0"/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За периода, консумираните питейни водни количества от потребителите в област Силистра възлизат </w:t>
      </w:r>
      <w:r w:rsidRPr="00B93E56">
        <w:rPr>
          <w:rFonts w:ascii="Calibri" w:hAnsi="Calibri" w:cs="Calibri"/>
          <w:sz w:val="22"/>
          <w:szCs w:val="22"/>
        </w:rPr>
        <w:t xml:space="preserve">на </w:t>
      </w:r>
      <w:r w:rsidR="00C37740">
        <w:rPr>
          <w:rFonts w:ascii="Calibri" w:hAnsi="Calibri" w:cs="Calibri"/>
          <w:sz w:val="22"/>
          <w:szCs w:val="22"/>
        </w:rPr>
        <w:t>1094</w:t>
      </w:r>
      <w:r w:rsidRPr="00F00C94">
        <w:rPr>
          <w:rFonts w:ascii="Calibri" w:hAnsi="Calibri" w:cs="Calibri"/>
          <w:sz w:val="22"/>
          <w:szCs w:val="22"/>
        </w:rPr>
        <w:t xml:space="preserve"> х.м³ спрямо </w:t>
      </w:r>
      <w:r w:rsidR="00C37740">
        <w:rPr>
          <w:rFonts w:ascii="Calibri" w:hAnsi="Calibri" w:cs="Calibri"/>
          <w:sz w:val="22"/>
          <w:szCs w:val="22"/>
        </w:rPr>
        <w:t>1044</w:t>
      </w:r>
      <w:r w:rsidR="00983B6F"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х.м³ през същия период на 20</w:t>
      </w:r>
      <w:r w:rsidR="00BD645C">
        <w:rPr>
          <w:rFonts w:ascii="Calibri" w:hAnsi="Calibri" w:cs="Calibri"/>
          <w:sz w:val="22"/>
          <w:szCs w:val="22"/>
        </w:rPr>
        <w:t>1</w:t>
      </w:r>
      <w:r w:rsidR="00BC32F3">
        <w:rPr>
          <w:rFonts w:ascii="Calibri" w:hAnsi="Calibri" w:cs="Calibri"/>
          <w:sz w:val="22"/>
          <w:szCs w:val="22"/>
        </w:rPr>
        <w:t>9</w:t>
      </w:r>
      <w:r w:rsidRPr="00F00C94">
        <w:rPr>
          <w:rFonts w:ascii="Calibri" w:hAnsi="Calibri" w:cs="Calibri"/>
          <w:sz w:val="22"/>
          <w:szCs w:val="22"/>
        </w:rPr>
        <w:t xml:space="preserve"> г. </w:t>
      </w:r>
    </w:p>
    <w:p w:rsidR="00FE1407" w:rsidRPr="00F00C94" w:rsidRDefault="00FE1407" w:rsidP="001C3615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AD694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91%  от приходите от основната дейност на дружеството се формират от потребителските групи "население" и "обществен сектор"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и са в размер на </w:t>
      </w:r>
      <w:r w:rsidR="00C37740">
        <w:rPr>
          <w:rFonts w:ascii="Calibri" w:hAnsi="Calibri" w:cs="Calibri"/>
          <w:sz w:val="22"/>
          <w:szCs w:val="22"/>
        </w:rPr>
        <w:t>2644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х.лв., спрямо </w:t>
      </w:r>
      <w:r w:rsidR="00C37740">
        <w:rPr>
          <w:rFonts w:ascii="Calibri" w:hAnsi="Calibri" w:cs="Calibri"/>
          <w:sz w:val="24"/>
          <w:szCs w:val="24"/>
        </w:rPr>
        <w:t>2671</w:t>
      </w:r>
      <w:r w:rsidRPr="00F00C94">
        <w:rPr>
          <w:rFonts w:ascii="Calibri" w:hAnsi="Calibri" w:cs="Calibri"/>
          <w:sz w:val="24"/>
          <w:szCs w:val="24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х.лв. от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предходната година. Коефициентът на събираемост за отчетния период  </w:t>
      </w:r>
      <w:r w:rsidRPr="003029AA">
        <w:rPr>
          <w:rFonts w:ascii="Calibri" w:hAnsi="Calibri" w:cs="Calibri"/>
          <w:sz w:val="22"/>
          <w:szCs w:val="22"/>
        </w:rPr>
        <w:t>е</w:t>
      </w:r>
      <w:r w:rsidRPr="003029AA">
        <w:rPr>
          <w:rFonts w:ascii="Calibri" w:hAnsi="Calibri" w:cs="Calibri"/>
          <w:sz w:val="22"/>
          <w:szCs w:val="22"/>
          <w:lang w:val="en-US"/>
        </w:rPr>
        <w:t xml:space="preserve">  </w:t>
      </w:r>
      <w:r w:rsidR="00C37740">
        <w:rPr>
          <w:rFonts w:ascii="Calibri" w:hAnsi="Calibri" w:cs="Calibri"/>
          <w:sz w:val="22"/>
          <w:szCs w:val="22"/>
        </w:rPr>
        <w:t>0,85</w:t>
      </w:r>
      <w:r w:rsidR="00FD2908" w:rsidRPr="00BC32F3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като  недобора е </w:t>
      </w:r>
      <w:r w:rsidR="00D27A54">
        <w:rPr>
          <w:rFonts w:ascii="Calibri" w:hAnsi="Calibri" w:cs="Calibri"/>
          <w:sz w:val="22"/>
          <w:szCs w:val="22"/>
        </w:rPr>
        <w:t>1477</w:t>
      </w:r>
      <w:r w:rsidRPr="003029AA"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 xml:space="preserve">х.лв. спрямо </w:t>
      </w:r>
      <w:r w:rsidR="00D27A54">
        <w:rPr>
          <w:rFonts w:ascii="Calibri" w:hAnsi="Calibri" w:cs="Calibri"/>
          <w:sz w:val="22"/>
          <w:szCs w:val="22"/>
        </w:rPr>
        <w:t>1</w:t>
      </w:r>
      <w:r w:rsidR="00C37740">
        <w:rPr>
          <w:rFonts w:ascii="Calibri" w:hAnsi="Calibri" w:cs="Calibri"/>
          <w:sz w:val="22"/>
          <w:szCs w:val="22"/>
        </w:rPr>
        <w:t>458</w:t>
      </w:r>
      <w:r w:rsidRPr="00F00C94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х.лв. през 201</w:t>
      </w:r>
      <w:r w:rsidR="00BC32F3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г.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3029AA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През периода </w:t>
      </w:r>
      <w:r w:rsidR="00C37740">
        <w:rPr>
          <w:rFonts w:ascii="Calibri" w:hAnsi="Calibri" w:cs="Calibri"/>
          <w:sz w:val="22"/>
          <w:szCs w:val="22"/>
        </w:rPr>
        <w:t>са</w:t>
      </w:r>
      <w:r w:rsidRPr="00F00C94">
        <w:rPr>
          <w:rFonts w:ascii="Calibri" w:hAnsi="Calibri" w:cs="Calibri"/>
          <w:sz w:val="22"/>
          <w:szCs w:val="22"/>
        </w:rPr>
        <w:t xml:space="preserve"> заведени</w:t>
      </w:r>
      <w:r w:rsidR="00C37740">
        <w:rPr>
          <w:rFonts w:ascii="Calibri" w:hAnsi="Calibri" w:cs="Calibri"/>
          <w:sz w:val="22"/>
          <w:szCs w:val="22"/>
        </w:rPr>
        <w:t xml:space="preserve"> 7 бр</w:t>
      </w:r>
      <w:r w:rsidRPr="00F00C94">
        <w:rPr>
          <w:rFonts w:ascii="Calibri" w:hAnsi="Calibri" w:cs="Calibri"/>
          <w:sz w:val="22"/>
          <w:szCs w:val="22"/>
        </w:rPr>
        <w:t xml:space="preserve">  съдебни проце</w:t>
      </w:r>
      <w:r w:rsidR="003029AA">
        <w:rPr>
          <w:rFonts w:ascii="Calibri" w:hAnsi="Calibri" w:cs="Calibri"/>
          <w:sz w:val="22"/>
          <w:szCs w:val="22"/>
        </w:rPr>
        <w:t>дури  срещу потребители-длъжници</w:t>
      </w:r>
      <w:r w:rsidR="00C37740">
        <w:rPr>
          <w:rFonts w:ascii="Calibri" w:hAnsi="Calibri" w:cs="Calibri"/>
          <w:sz w:val="22"/>
          <w:szCs w:val="22"/>
        </w:rPr>
        <w:t xml:space="preserve"> на стойност 8 хил.лв.</w:t>
      </w:r>
      <w:r w:rsidR="003029AA">
        <w:rPr>
          <w:rFonts w:ascii="Calibri" w:hAnsi="Calibri" w:cs="Calibri"/>
          <w:sz w:val="22"/>
          <w:szCs w:val="22"/>
        </w:rPr>
        <w:t xml:space="preserve">. 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За изпълнение основната задача  на Дружеството - „Предоставяне на качествени В и К услуги” се стремим към :</w:t>
      </w:r>
    </w:p>
    <w:p w:rsidR="003029AA" w:rsidRDefault="003029AA" w:rsidP="00B8068B">
      <w:pPr>
        <w:pStyle w:val="a4"/>
        <w:rPr>
          <w:rFonts w:ascii="Calibri" w:hAnsi="Calibri" w:cs="Calibri"/>
          <w:sz w:val="22"/>
          <w:szCs w:val="22"/>
        </w:rPr>
      </w:pPr>
    </w:p>
    <w:p w:rsidR="00BC32F3" w:rsidRDefault="00BC32F3" w:rsidP="00BC32F3">
      <w:pPr>
        <w:pStyle w:val="a3"/>
        <w:jc w:val="center"/>
        <w:rPr>
          <w:b/>
          <w:bCs/>
          <w:sz w:val="14"/>
          <w:szCs w:val="14"/>
        </w:rPr>
      </w:pPr>
    </w:p>
    <w:p w:rsidR="00EE0F16" w:rsidRDefault="00EE0F16" w:rsidP="00BC32F3">
      <w:pPr>
        <w:pStyle w:val="a3"/>
        <w:jc w:val="center"/>
        <w:rPr>
          <w:b/>
          <w:bCs/>
          <w:sz w:val="14"/>
          <w:szCs w:val="14"/>
        </w:rPr>
      </w:pPr>
    </w:p>
    <w:p w:rsidR="00BC32F3" w:rsidRPr="00F00C94" w:rsidRDefault="00BC32F3" w:rsidP="00BC32F3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BC32F3" w:rsidRDefault="00BC32F3" w:rsidP="00BC32F3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BC32F3" w:rsidRPr="00F00C94" w:rsidRDefault="00BC32F3" w:rsidP="00BC32F3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 w:rsidR="0096189E">
        <w:rPr>
          <w:b/>
          <w:bCs/>
          <w:sz w:val="14"/>
          <w:szCs w:val="14"/>
          <w:lang w:val="en-US"/>
        </w:rPr>
        <w:t>I</w:t>
      </w:r>
      <w:r w:rsidR="00B36626">
        <w:rPr>
          <w:b/>
          <w:bCs/>
          <w:sz w:val="14"/>
          <w:szCs w:val="14"/>
          <w:lang w:val="en-US"/>
        </w:rPr>
        <w:t>I-</w:t>
      </w:r>
      <w:r w:rsidR="0096189E">
        <w:rPr>
          <w:b/>
          <w:bCs/>
          <w:sz w:val="14"/>
          <w:szCs w:val="14"/>
        </w:rPr>
        <w:t>Р</w:t>
      </w:r>
      <w:r w:rsidR="00B36626">
        <w:rPr>
          <w:b/>
          <w:bCs/>
          <w:sz w:val="14"/>
          <w:szCs w:val="14"/>
        </w:rPr>
        <w:t xml:space="preserve">О ТРИМЕСЕЧИЕ </w:t>
      </w:r>
      <w:r w:rsidRPr="00F00C94">
        <w:rPr>
          <w:b/>
          <w:bCs/>
          <w:sz w:val="14"/>
          <w:szCs w:val="14"/>
        </w:rPr>
        <w:t>20</w:t>
      </w:r>
      <w:r w:rsidR="00B36626"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BC32F3" w:rsidRPr="00F00C94" w:rsidRDefault="00BC32F3" w:rsidP="00BC32F3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BC32F3" w:rsidRDefault="00BC32F3" w:rsidP="00B8068B">
      <w:pPr>
        <w:pStyle w:val="a4"/>
        <w:rPr>
          <w:rFonts w:ascii="Calibri" w:hAnsi="Calibri" w:cs="Calibri"/>
          <w:sz w:val="22"/>
          <w:szCs w:val="22"/>
        </w:rPr>
      </w:pPr>
    </w:p>
    <w:p w:rsidR="00BC32F3" w:rsidRPr="00F00C94" w:rsidRDefault="00BC32F3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B8068B">
      <w:pPr>
        <w:pStyle w:val="a4"/>
        <w:ind w:firstLine="709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1. Намаляване на загубите на вода чрез оптимизирана организация на производствено-експлоатационната дейност, вложени усилия за разкриване на търговските загуби и правомерност на присъединяването към водоснабдителните системи. </w:t>
      </w:r>
    </w:p>
    <w:p w:rsidR="00FE1407" w:rsidRPr="00F00C94" w:rsidRDefault="00FE1407" w:rsidP="00B8068B">
      <w:pPr>
        <w:pStyle w:val="a4"/>
        <w:ind w:firstLine="709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i/>
          <w:iCs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В това направление за намаляване на технологичните и търговски загуби продължават да се осъществяват следните мероприятия:</w:t>
      </w:r>
      <w:r w:rsidRPr="00F00C94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>Подмяна на амортизирали водопроводни участъци и съоръжения:</w:t>
      </w:r>
    </w:p>
    <w:p w:rsidR="00FE1407" w:rsidRPr="00B93E56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Разходите на Дружеството за текущ и авариен ремонт </w:t>
      </w:r>
      <w:r w:rsidR="00BD645C">
        <w:rPr>
          <w:rFonts w:ascii="Calibri" w:hAnsi="Calibri" w:cs="Calibri"/>
          <w:sz w:val="22"/>
          <w:szCs w:val="22"/>
        </w:rPr>
        <w:t xml:space="preserve">и външни услуги </w:t>
      </w:r>
      <w:r w:rsidRPr="00F00C94">
        <w:rPr>
          <w:rFonts w:ascii="Calibri" w:hAnsi="Calibri" w:cs="Calibri"/>
          <w:sz w:val="22"/>
          <w:szCs w:val="22"/>
        </w:rPr>
        <w:t xml:space="preserve">са в размер </w:t>
      </w:r>
      <w:r w:rsidRPr="00B93E56">
        <w:rPr>
          <w:rFonts w:ascii="Calibri" w:hAnsi="Calibri" w:cs="Calibri"/>
          <w:sz w:val="22"/>
          <w:szCs w:val="22"/>
        </w:rPr>
        <w:t xml:space="preserve">на </w:t>
      </w:r>
      <w:r w:rsidR="00C37740">
        <w:rPr>
          <w:rFonts w:ascii="Calibri" w:hAnsi="Calibri" w:cs="Calibri"/>
          <w:sz w:val="22"/>
          <w:szCs w:val="22"/>
        </w:rPr>
        <w:t>162</w:t>
      </w:r>
      <w:r w:rsidRPr="00B93E56">
        <w:rPr>
          <w:rFonts w:ascii="Calibri" w:hAnsi="Calibri" w:cs="Calibri"/>
          <w:sz w:val="22"/>
          <w:szCs w:val="22"/>
        </w:rPr>
        <w:t xml:space="preserve"> х.лв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 xml:space="preserve"> </w:t>
      </w:r>
    </w:p>
    <w:p w:rsidR="00FE1407" w:rsidRPr="00F00C94" w:rsidRDefault="00FE1407" w:rsidP="00B8068B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Периодичен контрол на загубите на вода, чрез обхождане на водопроводните трасета и превантивно обследване за откриване на скрити течове;         </w:t>
      </w:r>
    </w:p>
    <w:p w:rsidR="00FE1407" w:rsidRPr="00F00C94" w:rsidRDefault="00FE1407" w:rsidP="00B8068B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Периодична проверка, съгласно изискванията на ЗИ и  подмяна на измервателни устройства – водомери на вход населени места, на водоизточници и на потребители.         </w:t>
      </w:r>
    </w:p>
    <w:p w:rsidR="00FE1407" w:rsidRDefault="00FE1407" w:rsidP="00D430A9">
      <w:pPr>
        <w:pStyle w:val="1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</w:t>
      </w:r>
    </w:p>
    <w:p w:rsidR="00FE1407" w:rsidRPr="00EE0F16" w:rsidRDefault="00065B94" w:rsidP="002F756C">
      <w:pPr>
        <w:pStyle w:val="a3"/>
        <w:jc w:val="both"/>
        <w:rPr>
          <w:rFonts w:cs="Times New Roman"/>
        </w:rPr>
      </w:pPr>
      <w:r w:rsidRPr="00065B94">
        <w:rPr>
          <w:rFonts w:ascii="Arial Narrow" w:hAnsi="Arial Narrow"/>
        </w:rPr>
        <w:t>През</w:t>
      </w:r>
      <w:r w:rsidRPr="00065B94">
        <w:rPr>
          <w:rFonts w:ascii="Arial Narrow" w:hAnsi="Arial Narrow" w:cs="Arial"/>
        </w:rPr>
        <w:t xml:space="preserve"> </w:t>
      </w:r>
      <w:r w:rsidR="0096189E">
        <w:rPr>
          <w:rFonts w:ascii="Arial Narrow" w:hAnsi="Arial Narrow" w:cs="Arial"/>
        </w:rPr>
        <w:t>второто</w:t>
      </w:r>
      <w:r w:rsidR="00B36626">
        <w:rPr>
          <w:rFonts w:ascii="Arial Narrow" w:hAnsi="Arial Narrow" w:cs="Arial"/>
        </w:rPr>
        <w:t xml:space="preserve"> тримесечие </w:t>
      </w:r>
      <w:r w:rsidR="00B36626" w:rsidRPr="00EE0F16">
        <w:rPr>
          <w:rFonts w:ascii="Arial Narrow" w:hAnsi="Arial Narrow" w:cs="Arial"/>
        </w:rPr>
        <w:t xml:space="preserve">на </w:t>
      </w:r>
      <w:r w:rsidR="00B36626" w:rsidRPr="00EE0F16">
        <w:rPr>
          <w:rFonts w:ascii="Arial Narrow" w:hAnsi="Arial Narrow"/>
        </w:rPr>
        <w:t xml:space="preserve"> 2020 </w:t>
      </w:r>
      <w:r w:rsidRPr="00EE0F16">
        <w:rPr>
          <w:rFonts w:ascii="Arial Narrow" w:hAnsi="Arial Narrow"/>
        </w:rPr>
        <w:t>г са проверени</w:t>
      </w:r>
      <w:r w:rsidR="00C37740">
        <w:rPr>
          <w:rFonts w:ascii="Arial Narrow" w:hAnsi="Arial Narrow"/>
        </w:rPr>
        <w:t xml:space="preserve"> в акредитирана лаборатория</w:t>
      </w:r>
      <w:r w:rsidRPr="00EE0F16">
        <w:rPr>
          <w:rFonts w:ascii="Arial Narrow" w:hAnsi="Arial Narrow"/>
        </w:rPr>
        <w:t xml:space="preserve"> </w:t>
      </w:r>
      <w:r w:rsidR="00C37740">
        <w:rPr>
          <w:rFonts w:ascii="Arial Narrow" w:hAnsi="Arial Narrow"/>
        </w:rPr>
        <w:t>4</w:t>
      </w:r>
      <w:r w:rsidRPr="00EE0F16">
        <w:rPr>
          <w:rFonts w:ascii="Arial Narrow" w:hAnsi="Arial Narrow"/>
        </w:rPr>
        <w:t xml:space="preserve"> </w:t>
      </w:r>
      <w:r w:rsidR="00C37740">
        <w:rPr>
          <w:rFonts w:ascii="Arial Narrow" w:hAnsi="Arial Narrow"/>
        </w:rPr>
        <w:t>бр.,и</w:t>
      </w:r>
      <w:r w:rsidRPr="00EE0F16">
        <w:rPr>
          <w:rFonts w:ascii="Arial Narrow" w:hAnsi="Arial Narrow"/>
        </w:rPr>
        <w:t xml:space="preserve"> са подменени   </w:t>
      </w:r>
      <w:r w:rsidR="00C37740">
        <w:rPr>
          <w:rFonts w:ascii="Arial Narrow" w:hAnsi="Arial Narrow"/>
        </w:rPr>
        <w:t>500</w:t>
      </w:r>
      <w:r w:rsidR="00EE0F16" w:rsidRPr="00EE0F16">
        <w:rPr>
          <w:rFonts w:ascii="Arial Narrow" w:hAnsi="Arial Narrow"/>
        </w:rPr>
        <w:t xml:space="preserve"> </w:t>
      </w:r>
      <w:r w:rsidRPr="00EE0F16">
        <w:rPr>
          <w:rFonts w:ascii="Arial Narrow" w:hAnsi="Arial Narrow"/>
        </w:rPr>
        <w:t>бр.  приходни водомери на потребители.</w:t>
      </w:r>
      <w:r w:rsidR="00FE1407" w:rsidRPr="00EE0F16">
        <w:rPr>
          <w:rFonts w:cs="Times New Roman"/>
        </w:rPr>
        <w:tab/>
      </w:r>
      <w:r w:rsidR="00FE1407" w:rsidRPr="00EE0F16">
        <w:t xml:space="preserve">Подменени са </w:t>
      </w:r>
      <w:r w:rsidR="00EE0F16" w:rsidRPr="00EE0F16">
        <w:t>2</w:t>
      </w:r>
      <w:r w:rsidR="00FE1407" w:rsidRPr="00EE0F16">
        <w:t xml:space="preserve"> бр. водомери на водоизточници </w:t>
      </w:r>
      <w:r w:rsidR="00C37740">
        <w:t>ТК Поляна и ТК Зафирово 2</w:t>
      </w:r>
      <w:r w:rsidR="00BD645C" w:rsidRPr="00EE0F16">
        <w:t xml:space="preserve">. </w:t>
      </w:r>
      <w:r w:rsidR="00FE1407" w:rsidRPr="00EE0F16">
        <w:t xml:space="preserve"> </w:t>
      </w:r>
      <w:r w:rsidR="00EE0F16" w:rsidRPr="00EE0F16">
        <w:t xml:space="preserve">Дружеството работи по програма за зониране на населени места с население над 2000 жители. Изградени са нови </w:t>
      </w:r>
      <w:r w:rsidR="00C37740">
        <w:t>5</w:t>
      </w:r>
      <w:r w:rsidR="00EE0F16" w:rsidRPr="00EE0F16">
        <w:t xml:space="preserve"> водомерни зони в р-н Силистра</w:t>
      </w:r>
      <w:r w:rsidR="00C37740">
        <w:t>-2</w:t>
      </w:r>
      <w:r w:rsidR="00EE0F16" w:rsidRPr="00EE0F16">
        <w:t>, р-н Кайнарджа</w:t>
      </w:r>
      <w:r w:rsidR="00C37740">
        <w:t>-2</w:t>
      </w:r>
      <w:r w:rsidR="00EE0F16" w:rsidRPr="00EE0F16">
        <w:t xml:space="preserve"> и р-н Дулово с измерване на дебит и налягане</w:t>
      </w:r>
      <w:r w:rsidR="00FE1407" w:rsidRPr="00EE0F16">
        <w:t>.</w:t>
      </w:r>
    </w:p>
    <w:p w:rsidR="00FE1407" w:rsidRDefault="00FE1407" w:rsidP="004F6E00">
      <w:pPr>
        <w:pStyle w:val="a3"/>
      </w:pPr>
      <w:r w:rsidRPr="00EE0F16">
        <w:tab/>
      </w:r>
    </w:p>
    <w:p w:rsidR="00EE0F16" w:rsidRPr="00EE0F16" w:rsidRDefault="00EE0F16" w:rsidP="004F6E00">
      <w:pPr>
        <w:pStyle w:val="a3"/>
        <w:rPr>
          <w:rFonts w:cs="Times New Roman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2.Снижаване потреблението на ел.енергия и подобряване ефективността на водоснабдителните системи.   </w:t>
      </w:r>
    </w:p>
    <w:p w:rsidR="00BD645C" w:rsidRPr="00EE0F16" w:rsidRDefault="00BD645C" w:rsidP="00BD645C">
      <w:pPr>
        <w:pStyle w:val="a4"/>
        <w:ind w:firstLine="708"/>
        <w:rPr>
          <w:rFonts w:asciiTheme="minorHAnsi" w:hAnsiTheme="minorHAnsi" w:cstheme="minorHAnsi"/>
          <w:sz w:val="22"/>
          <w:szCs w:val="22"/>
        </w:rPr>
      </w:pPr>
      <w:r w:rsidRPr="00EE0F16">
        <w:rPr>
          <w:rFonts w:asciiTheme="minorHAnsi" w:hAnsiTheme="minorHAnsi" w:cstheme="minorHAnsi"/>
          <w:sz w:val="22"/>
          <w:szCs w:val="22"/>
        </w:rPr>
        <w:t xml:space="preserve">През </w:t>
      </w:r>
      <w:r w:rsidR="0096189E">
        <w:rPr>
          <w:rFonts w:asciiTheme="minorHAnsi" w:hAnsiTheme="minorHAnsi" w:cstheme="minorHAnsi"/>
          <w:sz w:val="22"/>
          <w:szCs w:val="22"/>
        </w:rPr>
        <w:t>второто</w:t>
      </w:r>
      <w:r w:rsidR="00B36626" w:rsidRPr="00EE0F16">
        <w:rPr>
          <w:rFonts w:asciiTheme="minorHAnsi" w:hAnsiTheme="minorHAnsi" w:cstheme="minorHAnsi"/>
          <w:sz w:val="22"/>
          <w:szCs w:val="22"/>
        </w:rPr>
        <w:t xml:space="preserve"> тримесечие на </w:t>
      </w:r>
      <w:r w:rsidR="00896B04" w:rsidRPr="00EE0F16">
        <w:rPr>
          <w:rFonts w:asciiTheme="minorHAnsi" w:hAnsiTheme="minorHAnsi" w:cstheme="minorHAnsi"/>
          <w:sz w:val="22"/>
          <w:szCs w:val="22"/>
        </w:rPr>
        <w:t>2</w:t>
      </w:r>
      <w:r w:rsidR="00B715DF" w:rsidRPr="00EE0F16">
        <w:rPr>
          <w:rFonts w:asciiTheme="minorHAnsi" w:hAnsiTheme="minorHAnsi" w:cstheme="minorHAnsi"/>
          <w:sz w:val="22"/>
          <w:szCs w:val="22"/>
        </w:rPr>
        <w:t>0</w:t>
      </w:r>
      <w:r w:rsidR="00B36626" w:rsidRPr="00EE0F16">
        <w:rPr>
          <w:rFonts w:asciiTheme="minorHAnsi" w:hAnsiTheme="minorHAnsi" w:cstheme="minorHAnsi"/>
          <w:sz w:val="22"/>
          <w:szCs w:val="22"/>
        </w:rPr>
        <w:t>20</w:t>
      </w:r>
      <w:r w:rsidR="00B715DF" w:rsidRPr="00EE0F16">
        <w:rPr>
          <w:rFonts w:asciiTheme="minorHAnsi" w:hAnsiTheme="minorHAnsi" w:cstheme="minorHAnsi"/>
          <w:sz w:val="22"/>
          <w:szCs w:val="22"/>
        </w:rPr>
        <w:t xml:space="preserve">г. за доставяне вода </w:t>
      </w:r>
      <w:r w:rsidRPr="00EE0F16">
        <w:rPr>
          <w:rFonts w:asciiTheme="minorHAnsi" w:hAnsiTheme="minorHAnsi" w:cstheme="minorHAnsi"/>
          <w:sz w:val="22"/>
          <w:szCs w:val="22"/>
        </w:rPr>
        <w:t xml:space="preserve">на потребителите е използвана </w:t>
      </w:r>
      <w:r w:rsidR="00EE0F16" w:rsidRPr="00EE0F16">
        <w:rPr>
          <w:rFonts w:asciiTheme="minorHAnsi" w:hAnsiTheme="minorHAnsi" w:cstheme="minorHAnsi"/>
          <w:sz w:val="22"/>
          <w:szCs w:val="22"/>
        </w:rPr>
        <w:t>35</w:t>
      </w:r>
      <w:r w:rsidR="00AF5A52">
        <w:rPr>
          <w:rFonts w:asciiTheme="minorHAnsi" w:hAnsiTheme="minorHAnsi" w:cstheme="minorHAnsi"/>
          <w:sz w:val="22"/>
          <w:szCs w:val="22"/>
        </w:rPr>
        <w:t>97</w:t>
      </w:r>
      <w:r w:rsidRPr="00EE0F16">
        <w:rPr>
          <w:rFonts w:asciiTheme="minorHAnsi" w:hAnsiTheme="minorHAnsi" w:cstheme="minorHAnsi"/>
          <w:sz w:val="22"/>
          <w:szCs w:val="22"/>
        </w:rPr>
        <w:t xml:space="preserve"> МВтч електроенергия</w:t>
      </w:r>
      <w:r w:rsidR="00E41C84" w:rsidRPr="00EE0F16">
        <w:rPr>
          <w:rFonts w:asciiTheme="minorHAnsi" w:hAnsiTheme="minorHAnsi" w:cstheme="minorHAnsi"/>
          <w:sz w:val="22"/>
          <w:szCs w:val="22"/>
        </w:rPr>
        <w:t xml:space="preserve"> на стойност </w:t>
      </w:r>
      <w:r w:rsidR="00EE0F16" w:rsidRPr="00EE0F16">
        <w:rPr>
          <w:rFonts w:asciiTheme="minorHAnsi" w:hAnsiTheme="minorHAnsi" w:cstheme="minorHAnsi"/>
          <w:sz w:val="22"/>
          <w:szCs w:val="22"/>
        </w:rPr>
        <w:t>5</w:t>
      </w:r>
      <w:r w:rsidR="00AF5A52">
        <w:rPr>
          <w:rFonts w:asciiTheme="minorHAnsi" w:hAnsiTheme="minorHAnsi" w:cstheme="minorHAnsi"/>
          <w:sz w:val="22"/>
          <w:szCs w:val="22"/>
        </w:rPr>
        <w:t>95</w:t>
      </w:r>
      <w:r w:rsidR="00E41C84" w:rsidRPr="00EE0F16">
        <w:rPr>
          <w:rFonts w:asciiTheme="minorHAnsi" w:hAnsiTheme="minorHAnsi" w:cstheme="minorHAnsi"/>
          <w:sz w:val="22"/>
          <w:szCs w:val="22"/>
        </w:rPr>
        <w:t xml:space="preserve"> х.лв.</w:t>
      </w:r>
      <w:r w:rsidRPr="00EE0F16">
        <w:rPr>
          <w:rFonts w:asciiTheme="minorHAnsi" w:hAnsiTheme="minorHAnsi" w:cstheme="minorHAnsi"/>
          <w:sz w:val="22"/>
          <w:szCs w:val="22"/>
        </w:rPr>
        <w:t xml:space="preserve">. За услугата отвеждане на отпадъчни води е използвана </w:t>
      </w:r>
      <w:r w:rsidR="00AF5A52">
        <w:rPr>
          <w:rFonts w:asciiTheme="minorHAnsi" w:hAnsiTheme="minorHAnsi" w:cstheme="minorHAnsi"/>
          <w:sz w:val="22"/>
          <w:szCs w:val="22"/>
        </w:rPr>
        <w:t>72</w:t>
      </w:r>
      <w:r w:rsidR="003210CC" w:rsidRPr="00EE0F16">
        <w:rPr>
          <w:rFonts w:asciiTheme="minorHAnsi" w:hAnsiTheme="minorHAnsi" w:cstheme="minorHAnsi"/>
          <w:sz w:val="22"/>
          <w:szCs w:val="22"/>
        </w:rPr>
        <w:t xml:space="preserve"> </w:t>
      </w:r>
      <w:r w:rsidRPr="00EE0F16">
        <w:rPr>
          <w:rFonts w:asciiTheme="minorHAnsi" w:hAnsiTheme="minorHAnsi" w:cstheme="minorHAnsi"/>
          <w:sz w:val="22"/>
          <w:szCs w:val="22"/>
        </w:rPr>
        <w:t>МВтч електроенергия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на стойност </w:t>
      </w:r>
      <w:r w:rsidR="00AF5A52">
        <w:rPr>
          <w:rFonts w:asciiTheme="minorHAnsi" w:hAnsiTheme="minorHAnsi" w:cstheme="minorHAnsi"/>
          <w:sz w:val="22"/>
          <w:szCs w:val="22"/>
        </w:rPr>
        <w:t>13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х.лв.</w:t>
      </w:r>
      <w:r w:rsidRPr="00EE0F16">
        <w:rPr>
          <w:rFonts w:asciiTheme="minorHAnsi" w:hAnsiTheme="minorHAnsi" w:cstheme="minorHAnsi"/>
          <w:sz w:val="22"/>
          <w:szCs w:val="22"/>
        </w:rPr>
        <w:t xml:space="preserve">, а за пречистване </w:t>
      </w:r>
      <w:r w:rsidR="00AF5A52">
        <w:rPr>
          <w:rFonts w:asciiTheme="minorHAnsi" w:hAnsiTheme="minorHAnsi" w:cstheme="minorHAnsi"/>
          <w:sz w:val="22"/>
          <w:szCs w:val="22"/>
        </w:rPr>
        <w:t>292</w:t>
      </w:r>
      <w:r w:rsidRPr="00EE0F16">
        <w:rPr>
          <w:rFonts w:asciiTheme="minorHAnsi" w:hAnsiTheme="minorHAnsi" w:cstheme="minorHAnsi"/>
          <w:sz w:val="22"/>
          <w:szCs w:val="22"/>
        </w:rPr>
        <w:t xml:space="preserve"> МВтч електроенергия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на стойност </w:t>
      </w:r>
      <w:r w:rsidR="00AF5A52">
        <w:rPr>
          <w:rFonts w:asciiTheme="minorHAnsi" w:hAnsiTheme="minorHAnsi" w:cstheme="minorHAnsi"/>
          <w:sz w:val="22"/>
          <w:szCs w:val="22"/>
        </w:rPr>
        <w:t>46</w:t>
      </w:r>
      <w:r w:rsidR="000C7CC1" w:rsidRPr="00EE0F16">
        <w:rPr>
          <w:rFonts w:asciiTheme="minorHAnsi" w:hAnsiTheme="minorHAnsi" w:cstheme="minorHAnsi"/>
          <w:sz w:val="22"/>
          <w:szCs w:val="22"/>
        </w:rPr>
        <w:t xml:space="preserve"> х.лв.</w:t>
      </w:r>
      <w:r w:rsidRPr="00EE0F16">
        <w:rPr>
          <w:rFonts w:asciiTheme="minorHAnsi" w:hAnsiTheme="minorHAnsi" w:cstheme="minorHAnsi"/>
          <w:sz w:val="22"/>
          <w:szCs w:val="22"/>
        </w:rPr>
        <w:t xml:space="preserve"> </w:t>
      </w:r>
      <w:r w:rsidR="000C7CC1" w:rsidRPr="00EE0F16">
        <w:rPr>
          <w:rFonts w:asciiTheme="minorHAnsi" w:hAnsiTheme="minorHAnsi" w:cstheme="minorHAnsi"/>
          <w:sz w:val="22"/>
          <w:szCs w:val="22"/>
        </w:rPr>
        <w:t>Р</w:t>
      </w:r>
      <w:r w:rsidRPr="00EE0F16">
        <w:rPr>
          <w:rFonts w:asciiTheme="minorHAnsi" w:hAnsiTheme="minorHAnsi" w:cstheme="minorHAnsi"/>
          <w:sz w:val="22"/>
          <w:szCs w:val="22"/>
        </w:rPr>
        <w:t xml:space="preserve">азходът за електроенергия за всички В и К услуги е на стойност </w:t>
      </w:r>
      <w:r w:rsidR="00AF5A52">
        <w:rPr>
          <w:rFonts w:asciiTheme="minorHAnsi" w:hAnsiTheme="minorHAnsi" w:cstheme="minorHAnsi"/>
          <w:sz w:val="22"/>
          <w:szCs w:val="22"/>
        </w:rPr>
        <w:t>655</w:t>
      </w:r>
      <w:r w:rsidRPr="00EE0F16">
        <w:rPr>
          <w:rFonts w:asciiTheme="minorHAnsi" w:hAnsiTheme="minorHAnsi" w:cstheme="minorHAnsi"/>
          <w:sz w:val="22"/>
          <w:szCs w:val="22"/>
        </w:rPr>
        <w:t xml:space="preserve"> хил. лв</w:t>
      </w:r>
    </w:p>
    <w:p w:rsidR="00FE1407" w:rsidRPr="00F00C94" w:rsidRDefault="00FE1407" w:rsidP="008B7970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Дружеството работи по програма за повишаване ефективността на водоснабдителните системи чрез реконструкция и ретрофит на СКАДА и подмяна на неефективни мощности.</w:t>
      </w:r>
    </w:p>
    <w:p w:rsidR="00FE1407" w:rsidRDefault="00FE1407" w:rsidP="00B67A30">
      <w:pPr>
        <w:pStyle w:val="a4"/>
        <w:ind w:firstLine="1134"/>
        <w:rPr>
          <w:rFonts w:ascii="Calibri" w:hAnsi="Calibri" w:cs="Calibri"/>
          <w:sz w:val="22"/>
          <w:szCs w:val="22"/>
          <w:highlight w:val="yellow"/>
        </w:rPr>
      </w:pPr>
    </w:p>
    <w:p w:rsidR="00EE0F16" w:rsidRPr="00F00C94" w:rsidRDefault="00EE0F16" w:rsidP="00B67A30">
      <w:pPr>
        <w:pStyle w:val="a4"/>
        <w:ind w:firstLine="1134"/>
        <w:rPr>
          <w:rFonts w:ascii="Calibri" w:hAnsi="Calibri" w:cs="Calibri"/>
          <w:sz w:val="22"/>
          <w:szCs w:val="22"/>
          <w:highlight w:val="yellow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3. Подобряване качеството на питейната вода, чрез: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</w:t>
      </w:r>
      <w:r w:rsidRPr="00F00C94">
        <w:rPr>
          <w:rFonts w:ascii="Calibri" w:hAnsi="Calibri" w:cs="Calibri"/>
          <w:sz w:val="22"/>
          <w:szCs w:val="22"/>
        </w:rPr>
        <w:sym w:font="Marlett" w:char="F038"/>
      </w:r>
      <w:r w:rsidRPr="00F00C94">
        <w:rPr>
          <w:rFonts w:ascii="Calibri" w:hAnsi="Calibri" w:cs="Calibri"/>
          <w:sz w:val="22"/>
          <w:szCs w:val="22"/>
        </w:rPr>
        <w:t xml:space="preserve">Изпълнение на Програмата за постоянен и периодичен мониторинг на качествата на подаваните водни количества, в съответствие с изискванията на Наредба № 9/16.03.2001 г. </w:t>
      </w:r>
    </w:p>
    <w:p w:rsidR="00FE1407" w:rsidRPr="00F00C94" w:rsidRDefault="00FE1407" w:rsidP="00B8068B">
      <w:pPr>
        <w:pStyle w:val="a4"/>
        <w:ind w:firstLine="1065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През отчетния</w:t>
      </w:r>
      <w:r w:rsidR="004B3517">
        <w:rPr>
          <w:rFonts w:ascii="Calibri" w:hAnsi="Calibri" w:cs="Calibri"/>
          <w:sz w:val="22"/>
          <w:szCs w:val="22"/>
        </w:rPr>
        <w:t xml:space="preserve">  период </w:t>
      </w:r>
      <w:r w:rsidRPr="00F00C94">
        <w:rPr>
          <w:rFonts w:ascii="Calibri" w:hAnsi="Calibri" w:cs="Calibri"/>
          <w:sz w:val="22"/>
          <w:szCs w:val="22"/>
        </w:rPr>
        <w:t xml:space="preserve">са извършени  проби по микробиологични и физикохимични показатели със стандартност </w:t>
      </w:r>
      <w:r>
        <w:rPr>
          <w:rFonts w:ascii="Calibri" w:hAnsi="Calibri" w:cs="Calibri"/>
          <w:sz w:val="22"/>
          <w:szCs w:val="22"/>
        </w:rPr>
        <w:t>-</w:t>
      </w:r>
      <w:r w:rsidR="003029AA" w:rsidRPr="003029AA">
        <w:rPr>
          <w:rFonts w:ascii="Calibri" w:hAnsi="Calibri" w:cs="Calibri"/>
          <w:sz w:val="22"/>
          <w:szCs w:val="22"/>
        </w:rPr>
        <w:t>100,00</w:t>
      </w:r>
      <w:r w:rsidRPr="003029AA">
        <w:rPr>
          <w:rFonts w:ascii="Calibri" w:hAnsi="Calibri" w:cs="Calibri"/>
          <w:sz w:val="22"/>
          <w:szCs w:val="22"/>
        </w:rPr>
        <w:t xml:space="preserve"> %.</w:t>
      </w:r>
    </w:p>
    <w:p w:rsidR="00FE1407" w:rsidRPr="00F00C94" w:rsidRDefault="00FE1407" w:rsidP="00B8068B">
      <w:pPr>
        <w:pStyle w:val="a4"/>
        <w:ind w:firstLine="1065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368B8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</w:r>
      <w:r w:rsidR="00B368B8">
        <w:rPr>
          <w:rFonts w:ascii="Calibri" w:hAnsi="Calibri" w:cs="Calibri"/>
          <w:sz w:val="22"/>
          <w:szCs w:val="22"/>
        </w:rPr>
        <w:t>4</w:t>
      </w:r>
      <w:r w:rsidRPr="00F00C94">
        <w:rPr>
          <w:rFonts w:ascii="Calibri" w:hAnsi="Calibri" w:cs="Calibri"/>
          <w:sz w:val="22"/>
          <w:szCs w:val="22"/>
        </w:rPr>
        <w:t>. Оптимизиране на разходите за ФРЗ</w:t>
      </w:r>
    </w:p>
    <w:p w:rsidR="00FE1407" w:rsidRPr="003029AA" w:rsidRDefault="00FE1407" w:rsidP="00AA45DF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За </w:t>
      </w:r>
      <w:r w:rsidR="0096189E">
        <w:rPr>
          <w:rFonts w:ascii="Calibri" w:hAnsi="Calibri" w:cs="Calibri"/>
          <w:sz w:val="22"/>
          <w:szCs w:val="22"/>
        </w:rPr>
        <w:t>второто</w:t>
      </w:r>
      <w:r w:rsidR="00B36626">
        <w:rPr>
          <w:rFonts w:ascii="Calibri" w:hAnsi="Calibri" w:cs="Calibri"/>
          <w:sz w:val="22"/>
          <w:szCs w:val="22"/>
        </w:rPr>
        <w:t xml:space="preserve"> тримесечие на </w:t>
      </w:r>
      <w:r w:rsidRPr="00F00C94">
        <w:rPr>
          <w:rFonts w:ascii="Calibri" w:hAnsi="Calibri" w:cs="Calibri"/>
          <w:sz w:val="22"/>
          <w:szCs w:val="22"/>
        </w:rPr>
        <w:t>20</w:t>
      </w:r>
      <w:r w:rsidR="00B36626">
        <w:rPr>
          <w:rFonts w:ascii="Calibri" w:hAnsi="Calibri" w:cs="Calibri"/>
          <w:sz w:val="22"/>
          <w:szCs w:val="22"/>
        </w:rPr>
        <w:t>20 г</w:t>
      </w:r>
      <w:r w:rsidRPr="00F00C94">
        <w:rPr>
          <w:rFonts w:ascii="Calibri" w:hAnsi="Calibri" w:cs="Calibri"/>
          <w:sz w:val="22"/>
          <w:szCs w:val="22"/>
        </w:rPr>
        <w:t xml:space="preserve"> средно-списъчния състав на дружеството е  </w:t>
      </w:r>
      <w:r w:rsidR="00AF5A52">
        <w:rPr>
          <w:rFonts w:ascii="Calibri" w:hAnsi="Calibri" w:cs="Calibri"/>
          <w:sz w:val="22"/>
          <w:szCs w:val="22"/>
        </w:rPr>
        <w:t>303,200</w:t>
      </w:r>
      <w:r w:rsidRPr="003029AA">
        <w:rPr>
          <w:rFonts w:ascii="Calibri" w:hAnsi="Calibri" w:cs="Calibri"/>
          <w:sz w:val="22"/>
          <w:szCs w:val="22"/>
        </w:rPr>
        <w:t xml:space="preserve"> човека, а разходите за персонала възлизат на</w:t>
      </w:r>
      <w:r w:rsidRPr="003029AA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F5A52">
        <w:rPr>
          <w:rFonts w:ascii="Calibri" w:hAnsi="Calibri" w:cs="Calibri"/>
          <w:sz w:val="22"/>
          <w:szCs w:val="22"/>
        </w:rPr>
        <w:t>1113</w:t>
      </w:r>
      <w:r w:rsidRPr="003029AA">
        <w:rPr>
          <w:rFonts w:ascii="Calibri" w:hAnsi="Calibri" w:cs="Calibri"/>
          <w:sz w:val="22"/>
          <w:szCs w:val="22"/>
        </w:rPr>
        <w:t xml:space="preserve"> х.лв. През отчетния период средната месечна заплата в дружеството е </w:t>
      </w:r>
      <w:r w:rsidR="003029AA" w:rsidRPr="003029AA">
        <w:rPr>
          <w:rFonts w:ascii="Calibri" w:hAnsi="Calibri" w:cs="Calibri"/>
          <w:sz w:val="22"/>
          <w:szCs w:val="22"/>
        </w:rPr>
        <w:t>1006,72</w:t>
      </w:r>
      <w:r w:rsidRPr="003029AA">
        <w:rPr>
          <w:rFonts w:ascii="Calibri" w:hAnsi="Calibri" w:cs="Calibri"/>
          <w:sz w:val="22"/>
          <w:szCs w:val="22"/>
        </w:rPr>
        <w:t xml:space="preserve"> лв.            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B36626" w:rsidRPr="00B36626" w:rsidRDefault="00B36626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73CBE" w:rsidRDefault="00F73CBE" w:rsidP="00B8068B">
      <w:pPr>
        <w:pStyle w:val="a4"/>
        <w:rPr>
          <w:rFonts w:ascii="Calibri" w:hAnsi="Calibri" w:cs="Calibri"/>
          <w:sz w:val="22"/>
          <w:szCs w:val="22"/>
          <w:lang w:val="en-US"/>
        </w:rPr>
      </w:pP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lastRenderedPageBreak/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За осигуряване на безопасни и здравословни условия на труд на персонала на дружеството се предоставят работно облекло и лични предпазни средства, в съответствие изискванията на действащата нормативна уредба.   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През отчетния период цените на предоставените "В и К" услуги са.  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Считано от 01.01.2012 г. с Решение № Ц-44  30.11.2009 г. на ДКЕВР:</w:t>
      </w:r>
    </w:p>
    <w:p w:rsidR="00FE1407" w:rsidRPr="003029AA" w:rsidRDefault="00FE1407" w:rsidP="00B8068B">
      <w:pPr>
        <w:pStyle w:val="a4"/>
        <w:ind w:firstLine="945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- цена на доставяне на вода                   - 1,82 лв./куб.м. без ДДС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- цена на отвеждане на отпадъчни води - 0,11 лв./куб.м. без ДДС</w:t>
      </w:r>
    </w:p>
    <w:p w:rsidR="00FE1407" w:rsidRPr="003029AA" w:rsidRDefault="00FE1407" w:rsidP="0076461C">
      <w:pPr>
        <w:pStyle w:val="a4"/>
        <w:jc w:val="center"/>
        <w:rPr>
          <w:rFonts w:ascii="Calibri" w:hAnsi="Calibri" w:cs="Calibri"/>
          <w:sz w:val="20"/>
          <w:szCs w:val="20"/>
        </w:rPr>
      </w:pP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Считано от 01.11.2012 с Решение №Ц-53  31.10.2012 г. на ДКЕВР</w:t>
      </w:r>
    </w:p>
    <w:p w:rsidR="00FE1407" w:rsidRPr="003029AA" w:rsidRDefault="00FE1407" w:rsidP="00B8068B">
      <w:pPr>
        <w:pStyle w:val="a4"/>
        <w:ind w:firstLine="945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>- цена на доставяне на вода                   - 1,89 лв./куб.м. без ДДС</w:t>
      </w:r>
    </w:p>
    <w:p w:rsidR="00FE1407" w:rsidRPr="003029AA" w:rsidRDefault="00FE1407" w:rsidP="00B8068B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- цена на отвеждане на отпадъчни води - 0,12 лв./куб.м. без ДДС</w:t>
      </w:r>
    </w:p>
    <w:p w:rsidR="00FE1407" w:rsidRPr="003029AA" w:rsidRDefault="00FE1407" w:rsidP="008B7970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</w:t>
      </w:r>
      <w:r w:rsidR="003029AA">
        <w:rPr>
          <w:rFonts w:ascii="Calibri" w:hAnsi="Calibri" w:cs="Calibri"/>
          <w:sz w:val="20"/>
          <w:szCs w:val="20"/>
        </w:rPr>
        <w:t>Ц</w:t>
      </w:r>
      <w:r w:rsidRPr="003029AA">
        <w:rPr>
          <w:rFonts w:ascii="Calibri" w:hAnsi="Calibri" w:cs="Calibri"/>
          <w:sz w:val="20"/>
          <w:szCs w:val="20"/>
        </w:rPr>
        <w:t>ени от 01.0</w:t>
      </w:r>
      <w:r w:rsidR="007E1206" w:rsidRPr="003029AA">
        <w:rPr>
          <w:rFonts w:ascii="Calibri" w:hAnsi="Calibri" w:cs="Calibri"/>
          <w:sz w:val="20"/>
          <w:szCs w:val="20"/>
        </w:rPr>
        <w:t>1</w:t>
      </w:r>
      <w:r w:rsidRPr="003029AA">
        <w:rPr>
          <w:rFonts w:ascii="Calibri" w:hAnsi="Calibri" w:cs="Calibri"/>
          <w:sz w:val="20"/>
          <w:szCs w:val="20"/>
        </w:rPr>
        <w:t>.201</w:t>
      </w:r>
      <w:r w:rsidR="004B3517" w:rsidRPr="003029AA">
        <w:rPr>
          <w:rFonts w:ascii="Calibri" w:hAnsi="Calibri" w:cs="Calibri"/>
          <w:sz w:val="20"/>
          <w:szCs w:val="20"/>
        </w:rPr>
        <w:t>9</w:t>
      </w:r>
      <w:r w:rsidRPr="003029AA">
        <w:rPr>
          <w:rFonts w:ascii="Calibri" w:hAnsi="Calibri" w:cs="Calibri"/>
          <w:sz w:val="20"/>
          <w:szCs w:val="20"/>
        </w:rPr>
        <w:t xml:space="preserve"> </w:t>
      </w:r>
    </w:p>
    <w:p w:rsidR="00FE1407" w:rsidRPr="003029AA" w:rsidRDefault="00FE1407" w:rsidP="008B7970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доставяне на вода                   - </w:t>
      </w:r>
      <w:r w:rsidR="004B3517" w:rsidRPr="003029AA">
        <w:rPr>
          <w:rFonts w:ascii="Arial Narrow" w:hAnsi="Arial Narrow" w:cs="Arial Narrow"/>
          <w:sz w:val="20"/>
          <w:szCs w:val="20"/>
        </w:rPr>
        <w:t>2,147</w:t>
      </w:r>
      <w:r w:rsidRPr="003029AA">
        <w:rPr>
          <w:rFonts w:ascii="Arial Narrow" w:hAnsi="Arial Narrow" w:cs="Arial Narrow"/>
          <w:sz w:val="20"/>
          <w:szCs w:val="20"/>
        </w:rPr>
        <w:t xml:space="preserve"> лв./куб.м. без ДДС</w:t>
      </w:r>
    </w:p>
    <w:p w:rsidR="00FE1407" w:rsidRPr="003029AA" w:rsidRDefault="00FE1407" w:rsidP="008B7970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отвеждане на отпадъчни води - 0,1</w:t>
      </w:r>
      <w:r w:rsidR="004B3517" w:rsidRPr="003029AA">
        <w:rPr>
          <w:rFonts w:ascii="Arial Narrow" w:hAnsi="Arial Narrow" w:cs="Arial Narrow"/>
          <w:sz w:val="20"/>
          <w:szCs w:val="20"/>
        </w:rPr>
        <w:t>7</w:t>
      </w:r>
      <w:r w:rsidRPr="003029AA">
        <w:rPr>
          <w:rFonts w:ascii="Arial Narrow" w:hAnsi="Arial Narrow" w:cs="Arial Narrow"/>
          <w:sz w:val="20"/>
          <w:szCs w:val="20"/>
        </w:rPr>
        <w:t>1 лв./куб.м. без ДДС</w:t>
      </w:r>
    </w:p>
    <w:p w:rsidR="00FE1407" w:rsidRPr="003029AA" w:rsidRDefault="00FE1407" w:rsidP="008B7970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пречистване  на отпадъчни води 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Битови и приравнени обществени и търговски потребители- 0,</w:t>
      </w:r>
      <w:r w:rsidR="004B3517" w:rsidRPr="003029AA">
        <w:rPr>
          <w:rFonts w:ascii="Arial Narrow" w:hAnsi="Arial Narrow" w:cs="Arial Narrow"/>
          <w:sz w:val="20"/>
          <w:szCs w:val="20"/>
        </w:rPr>
        <w:t>444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Промишлени и стопански потребители: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1 – 0,4</w:t>
      </w:r>
      <w:r w:rsidR="004B3517" w:rsidRPr="003029AA">
        <w:rPr>
          <w:rFonts w:ascii="Arial Narrow" w:hAnsi="Arial Narrow" w:cs="Arial Narrow"/>
          <w:sz w:val="20"/>
          <w:szCs w:val="20"/>
        </w:rPr>
        <w:t>88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FE1407" w:rsidRPr="003029AA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2 – 0,71</w:t>
      </w:r>
      <w:r w:rsidR="004B3517" w:rsidRPr="003029AA">
        <w:rPr>
          <w:rFonts w:ascii="Arial Narrow" w:hAnsi="Arial Narrow" w:cs="Arial Narrow"/>
          <w:sz w:val="20"/>
          <w:szCs w:val="20"/>
        </w:rPr>
        <w:t>5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FE1407" w:rsidRDefault="00FE1407" w:rsidP="008B7970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3 – 0,89</w:t>
      </w:r>
      <w:r w:rsidR="004B3517" w:rsidRPr="003029AA">
        <w:rPr>
          <w:rFonts w:ascii="Arial Narrow" w:hAnsi="Arial Narrow" w:cs="Arial Narrow"/>
          <w:sz w:val="20"/>
          <w:szCs w:val="20"/>
        </w:rPr>
        <w:t>3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3029AA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>Ц</w:t>
      </w:r>
      <w:r w:rsidRPr="003029AA">
        <w:rPr>
          <w:rFonts w:ascii="Calibri" w:hAnsi="Calibri" w:cs="Calibri"/>
          <w:sz w:val="20"/>
          <w:szCs w:val="20"/>
        </w:rPr>
        <w:t>ени от 01.01.20</w:t>
      </w:r>
      <w:r>
        <w:rPr>
          <w:rFonts w:ascii="Calibri" w:hAnsi="Calibri" w:cs="Calibri"/>
          <w:sz w:val="20"/>
          <w:szCs w:val="20"/>
        </w:rPr>
        <w:t>20</w:t>
      </w:r>
      <w:r w:rsidRPr="003029AA">
        <w:rPr>
          <w:rFonts w:ascii="Calibri" w:hAnsi="Calibri" w:cs="Calibri"/>
          <w:sz w:val="20"/>
          <w:szCs w:val="20"/>
        </w:rPr>
        <w:t xml:space="preserve"> </w:t>
      </w:r>
    </w:p>
    <w:p w:rsidR="003029AA" w:rsidRPr="003029AA" w:rsidRDefault="003029AA" w:rsidP="003029AA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доставяне на вода                   - 2,147 лв./куб.м. без ДДС</w:t>
      </w:r>
    </w:p>
    <w:p w:rsidR="003029AA" w:rsidRPr="003029AA" w:rsidRDefault="003029AA" w:rsidP="003029AA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отвеждане на отпадъчни води - 0,17</w:t>
      </w:r>
      <w:r>
        <w:rPr>
          <w:rFonts w:ascii="Arial Narrow" w:hAnsi="Arial Narrow" w:cs="Arial Narrow"/>
          <w:sz w:val="20"/>
          <w:szCs w:val="20"/>
        </w:rPr>
        <w:t>5</w:t>
      </w:r>
      <w:r w:rsidRPr="003029AA">
        <w:rPr>
          <w:rFonts w:ascii="Arial Narrow" w:hAnsi="Arial Narrow" w:cs="Arial Narrow"/>
          <w:sz w:val="20"/>
          <w:szCs w:val="20"/>
        </w:rPr>
        <w:t xml:space="preserve"> лв./куб.м. без ДДС</w:t>
      </w:r>
    </w:p>
    <w:p w:rsidR="003029AA" w:rsidRPr="003029AA" w:rsidRDefault="003029AA" w:rsidP="003029AA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пречистване  на отпадъчни води 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Битови и приравнени обществени и търговски потребители- 0,4</w:t>
      </w:r>
      <w:r w:rsidR="00915D8A">
        <w:rPr>
          <w:rFonts w:ascii="Arial Narrow" w:hAnsi="Arial Narrow" w:cs="Arial Narrow"/>
          <w:sz w:val="20"/>
          <w:szCs w:val="20"/>
        </w:rPr>
        <w:t>81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</w:t>
      </w:r>
      <w:r w:rsidRPr="003029AA">
        <w:rPr>
          <w:rFonts w:ascii="Arial Narrow" w:hAnsi="Arial Narrow" w:cs="Arial Narrow"/>
          <w:sz w:val="20"/>
          <w:szCs w:val="20"/>
        </w:rPr>
        <w:tab/>
      </w:r>
      <w:r w:rsidRPr="003029AA">
        <w:rPr>
          <w:rFonts w:ascii="Arial Narrow" w:hAnsi="Arial Narrow" w:cs="Arial Narrow"/>
          <w:sz w:val="20"/>
          <w:szCs w:val="20"/>
        </w:rPr>
        <w:tab/>
        <w:t xml:space="preserve">  Промишлени и стопански потребители: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1 – 0,</w:t>
      </w:r>
      <w:r w:rsidR="00915D8A">
        <w:rPr>
          <w:rFonts w:ascii="Arial Narrow" w:hAnsi="Arial Narrow" w:cs="Arial Narrow"/>
          <w:sz w:val="20"/>
          <w:szCs w:val="20"/>
        </w:rPr>
        <w:t>530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P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2 – 0,7</w:t>
      </w:r>
      <w:r w:rsidR="00915D8A">
        <w:rPr>
          <w:rFonts w:ascii="Arial Narrow" w:hAnsi="Arial Narrow" w:cs="Arial Narrow"/>
          <w:sz w:val="20"/>
          <w:szCs w:val="20"/>
        </w:rPr>
        <w:t>74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3029AA" w:rsidRDefault="003029AA" w:rsidP="003029AA">
      <w:pPr>
        <w:pStyle w:val="a4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                                             Степен на замърсяване 3 – 0,</w:t>
      </w:r>
      <w:r w:rsidR="00915D8A">
        <w:rPr>
          <w:rFonts w:ascii="Arial Narrow" w:hAnsi="Arial Narrow" w:cs="Arial Narrow"/>
          <w:sz w:val="20"/>
          <w:szCs w:val="20"/>
        </w:rPr>
        <w:t>967</w:t>
      </w:r>
      <w:r w:rsidRPr="003029AA">
        <w:rPr>
          <w:rFonts w:ascii="Arial Narrow" w:hAnsi="Arial Narrow" w:cs="Arial Narrow"/>
          <w:sz w:val="20"/>
          <w:szCs w:val="20"/>
        </w:rPr>
        <w:t xml:space="preserve"> лв. без ДДС</w:t>
      </w:r>
    </w:p>
    <w:p w:rsidR="00AF5A52" w:rsidRPr="003029AA" w:rsidRDefault="00AF5A52" w:rsidP="00AF5A52">
      <w:pPr>
        <w:pStyle w:val="a4"/>
        <w:rPr>
          <w:rFonts w:ascii="Calibri" w:hAnsi="Calibri" w:cs="Calibri"/>
          <w:sz w:val="20"/>
          <w:szCs w:val="20"/>
        </w:rPr>
      </w:pPr>
      <w:r w:rsidRPr="003029AA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>Ц</w:t>
      </w:r>
      <w:r w:rsidRPr="003029AA">
        <w:rPr>
          <w:rFonts w:ascii="Calibri" w:hAnsi="Calibri" w:cs="Calibri"/>
          <w:sz w:val="20"/>
          <w:szCs w:val="20"/>
        </w:rPr>
        <w:t>ени от 01.0</w:t>
      </w:r>
      <w:r>
        <w:rPr>
          <w:rFonts w:ascii="Calibri" w:hAnsi="Calibri" w:cs="Calibri"/>
          <w:sz w:val="20"/>
          <w:szCs w:val="20"/>
        </w:rPr>
        <w:t>6</w:t>
      </w:r>
      <w:r w:rsidRPr="003029AA">
        <w:rPr>
          <w:rFonts w:ascii="Calibri" w:hAnsi="Calibri" w:cs="Calibri"/>
          <w:sz w:val="20"/>
          <w:szCs w:val="20"/>
        </w:rPr>
        <w:t>.20</w:t>
      </w:r>
      <w:r>
        <w:rPr>
          <w:rFonts w:ascii="Calibri" w:hAnsi="Calibri" w:cs="Calibri"/>
          <w:sz w:val="20"/>
          <w:szCs w:val="20"/>
        </w:rPr>
        <w:t>20</w:t>
      </w:r>
      <w:r w:rsidRPr="003029AA">
        <w:rPr>
          <w:rFonts w:ascii="Calibri" w:hAnsi="Calibri" w:cs="Calibri"/>
          <w:sz w:val="20"/>
          <w:szCs w:val="20"/>
        </w:rPr>
        <w:t xml:space="preserve"> </w:t>
      </w:r>
    </w:p>
    <w:p w:rsidR="00AF5A52" w:rsidRPr="003029AA" w:rsidRDefault="00AF5A52" w:rsidP="00AF5A52">
      <w:pPr>
        <w:pStyle w:val="a4"/>
        <w:ind w:firstLine="708"/>
        <w:rPr>
          <w:rFonts w:ascii="Arial Narrow" w:hAnsi="Arial Narrow" w:cs="Arial Narrow"/>
          <w:sz w:val="20"/>
          <w:szCs w:val="20"/>
        </w:rPr>
      </w:pPr>
      <w:r w:rsidRPr="003029AA">
        <w:rPr>
          <w:rFonts w:ascii="Arial Narrow" w:hAnsi="Arial Narrow" w:cs="Arial Narrow"/>
          <w:sz w:val="20"/>
          <w:szCs w:val="20"/>
        </w:rPr>
        <w:t xml:space="preserve"> - цена на доставяне на вода                   - 2,</w:t>
      </w:r>
      <w:r>
        <w:rPr>
          <w:rFonts w:ascii="Arial Narrow" w:hAnsi="Arial Narrow" w:cs="Arial Narrow"/>
          <w:sz w:val="20"/>
          <w:szCs w:val="20"/>
        </w:rPr>
        <w:t>686</w:t>
      </w:r>
      <w:r w:rsidRPr="003029AA">
        <w:rPr>
          <w:rFonts w:ascii="Arial Narrow" w:hAnsi="Arial Narrow" w:cs="Arial Narrow"/>
          <w:sz w:val="20"/>
          <w:szCs w:val="20"/>
        </w:rPr>
        <w:t xml:space="preserve"> лв./куб.м. без ДДС</w:t>
      </w: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  <w:r w:rsidRPr="00F00C94">
        <w:rPr>
          <w:rFonts w:ascii="Calibri" w:hAnsi="Calibri" w:cs="Calibri"/>
          <w:b/>
          <w:bCs/>
          <w:sz w:val="22"/>
          <w:szCs w:val="22"/>
        </w:rPr>
        <w:t>УПРАВЛЕНИЕ НА ФИНАНСОВИТЕ  РИСКОВЕ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При осъществяване на дейността си предприятието може да бъде изложено на различни финансови рискове. 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По отношение на ценовия риск за финансовия инструмент влияние ще окажат промените в пазарните цени. Бъдещите парични потоци ще варират.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Кредитния риск е, че при договорено задължение неизпълнението му от едната страна ще причини загуба за другата страна.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Ликвидният риск е, че дружеството би могло да има затруднения при посрещане на задълженията си.</w:t>
      </w:r>
    </w:p>
    <w:p w:rsidR="00FE1407" w:rsidRPr="00F00C94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Ръководството на дружеството текущо наблюдава, измерва и контролира финансовите рискове чрез: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Определяна на адекватни цени по ВиК услугите, предоставяни от дружеството;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Цените на привлечените заеми;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Адекватна оценка на формите на поддържане на свободните ликвидни средства;</w:t>
      </w:r>
    </w:p>
    <w:p w:rsidR="00FE1407" w:rsidRPr="00F00C94" w:rsidRDefault="00FE1407" w:rsidP="00994DE9">
      <w:pPr>
        <w:pStyle w:val="a4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Недопускане на неоправдана концентрация на някои от посочените рискове.</w:t>
      </w:r>
    </w:p>
    <w:p w:rsidR="00FE1407" w:rsidRPr="00F00C94" w:rsidRDefault="00FE1407" w:rsidP="00994DE9">
      <w:pPr>
        <w:pStyle w:val="a4"/>
        <w:ind w:left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По отношение на управлението на финансовите рискове дружеството:</w:t>
      </w:r>
    </w:p>
    <w:p w:rsidR="00FE1407" w:rsidRPr="00F00C94" w:rsidRDefault="00FE1407" w:rsidP="00994DE9">
      <w:pPr>
        <w:pStyle w:val="a4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 използва специални финансови инструменти и не е изложено на валутен риск;</w:t>
      </w:r>
    </w:p>
    <w:p w:rsidR="00FE1407" w:rsidRPr="00F00C94" w:rsidRDefault="00FE1407" w:rsidP="00994DE9">
      <w:pPr>
        <w:pStyle w:val="a4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Не използва заемни средства и не е изложено на лихвен риск.</w:t>
      </w:r>
    </w:p>
    <w:p w:rsidR="00FE1407" w:rsidRPr="00F00C94" w:rsidRDefault="00FE1407" w:rsidP="004A690B">
      <w:pPr>
        <w:pStyle w:val="a4"/>
        <w:ind w:left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>Предимно вземанията от продажби излагат дружеството на кредитен риск.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Политиката на дружеството е насочена към подобряване събираемостта на вземанията, както и на крайни мерки-завеждане на съдебни дела срещу некоректни платци. 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</w:p>
    <w:p w:rsidR="00B368B8" w:rsidRDefault="00B368B8" w:rsidP="006E3242">
      <w:pPr>
        <w:pStyle w:val="a3"/>
        <w:jc w:val="center"/>
        <w:rPr>
          <w:b/>
          <w:bCs/>
          <w:sz w:val="14"/>
          <w:szCs w:val="14"/>
        </w:rPr>
      </w:pPr>
    </w:p>
    <w:p w:rsidR="00B368B8" w:rsidRDefault="00B368B8" w:rsidP="006E3242">
      <w:pPr>
        <w:pStyle w:val="a3"/>
        <w:jc w:val="center"/>
        <w:rPr>
          <w:b/>
          <w:bCs/>
          <w:sz w:val="14"/>
          <w:szCs w:val="14"/>
        </w:rPr>
      </w:pP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</w:rPr>
      </w:pP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  <w:r w:rsidRPr="00F00C94">
        <w:rPr>
          <w:rFonts w:ascii="Calibri" w:hAnsi="Calibri" w:cs="Calibri"/>
          <w:sz w:val="22"/>
          <w:szCs w:val="22"/>
        </w:rPr>
        <w:t>Не се допуска непогасяване в срок на задълженията на дружеството спрямо доставчици и кредитори. Поддържат се достатъчно свободни парични наличности.</w:t>
      </w:r>
    </w:p>
    <w:p w:rsidR="00FE1407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E34632" w:rsidRDefault="00FE1407" w:rsidP="004A690B">
      <w:pPr>
        <w:pStyle w:val="a4"/>
        <w:ind w:firstLine="708"/>
        <w:rPr>
          <w:rFonts w:ascii="Calibri" w:hAnsi="Calibri" w:cs="Calibri"/>
          <w:sz w:val="22"/>
          <w:szCs w:val="22"/>
          <w:lang w:val="en-US"/>
        </w:rPr>
      </w:pP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  <w:r w:rsidRPr="00F00C94">
        <w:rPr>
          <w:rFonts w:ascii="Calibri" w:hAnsi="Calibri" w:cs="Calibri"/>
          <w:b/>
          <w:bCs/>
          <w:sz w:val="22"/>
          <w:szCs w:val="22"/>
        </w:rPr>
        <w:t xml:space="preserve">ФИНАНСОВ АНАЛИЗ          </w:t>
      </w:r>
    </w:p>
    <w:p w:rsidR="00FE1407" w:rsidRPr="00F00C94" w:rsidRDefault="00FE1407" w:rsidP="00B8068B">
      <w:pPr>
        <w:pStyle w:val="a4"/>
        <w:rPr>
          <w:rFonts w:ascii="Calibri" w:hAnsi="Calibri" w:cs="Calibri"/>
          <w:b/>
          <w:bCs/>
          <w:sz w:val="22"/>
          <w:szCs w:val="22"/>
        </w:rPr>
      </w:pPr>
    </w:p>
    <w:p w:rsidR="00FE1407" w:rsidRDefault="00FE1407" w:rsidP="00B8068B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                  Съгласно приложения Финансов отчет за</w:t>
      </w:r>
      <w:r w:rsidR="00B36626">
        <w:rPr>
          <w:rFonts w:ascii="Calibri" w:hAnsi="Calibri" w:cs="Calibri"/>
          <w:sz w:val="22"/>
          <w:szCs w:val="22"/>
        </w:rPr>
        <w:t xml:space="preserve"> </w:t>
      </w:r>
      <w:r w:rsidR="0096189E">
        <w:rPr>
          <w:rFonts w:ascii="Calibri" w:hAnsi="Calibri" w:cs="Calibri"/>
          <w:sz w:val="22"/>
          <w:szCs w:val="22"/>
        </w:rPr>
        <w:t>второто</w:t>
      </w:r>
      <w:r w:rsidR="006A2586">
        <w:rPr>
          <w:rFonts w:ascii="Calibri" w:hAnsi="Calibri" w:cs="Calibri"/>
          <w:sz w:val="22"/>
          <w:szCs w:val="22"/>
        </w:rPr>
        <w:t xml:space="preserve"> тримесечие на</w:t>
      </w:r>
      <w:r w:rsidRPr="00F00C94">
        <w:rPr>
          <w:rFonts w:ascii="Calibri" w:hAnsi="Calibri" w:cs="Calibri"/>
          <w:sz w:val="22"/>
          <w:szCs w:val="22"/>
        </w:rPr>
        <w:t xml:space="preserve"> 20</w:t>
      </w:r>
      <w:r w:rsidR="006A258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г</w:t>
      </w:r>
      <w:r w:rsidRPr="00F00C94">
        <w:rPr>
          <w:rFonts w:ascii="Calibri" w:hAnsi="Calibri" w:cs="Calibri"/>
          <w:sz w:val="22"/>
          <w:szCs w:val="22"/>
        </w:rPr>
        <w:t xml:space="preserve">.  са отчетени приходи в </w:t>
      </w:r>
      <w:r w:rsidRPr="00915D8A">
        <w:rPr>
          <w:rFonts w:ascii="Calibri" w:hAnsi="Calibri" w:cs="Calibri"/>
          <w:sz w:val="22"/>
          <w:szCs w:val="22"/>
        </w:rPr>
        <w:t xml:space="preserve">размер на      </w:t>
      </w:r>
      <w:r w:rsidR="00AF5A52">
        <w:rPr>
          <w:rFonts w:ascii="Calibri" w:hAnsi="Calibri" w:cs="Calibri"/>
          <w:sz w:val="22"/>
          <w:szCs w:val="22"/>
        </w:rPr>
        <w:t>2703</w:t>
      </w:r>
      <w:r w:rsidR="004B351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х.лв.спрямо </w:t>
      </w:r>
      <w:r w:rsidR="00AF5A52">
        <w:rPr>
          <w:rFonts w:ascii="Calibri" w:hAnsi="Calibri" w:cs="Calibri"/>
          <w:sz w:val="22"/>
          <w:szCs w:val="22"/>
        </w:rPr>
        <w:t>2582</w:t>
      </w:r>
      <w:r>
        <w:rPr>
          <w:rFonts w:ascii="Calibri" w:hAnsi="Calibri" w:cs="Calibri"/>
          <w:sz w:val="22"/>
          <w:szCs w:val="22"/>
        </w:rPr>
        <w:t xml:space="preserve"> хил.лв. за същия период на 201</w:t>
      </w:r>
      <w:r w:rsidR="006A258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г.</w:t>
      </w:r>
      <w:r w:rsidRPr="00F00C94">
        <w:rPr>
          <w:rFonts w:ascii="Calibri" w:hAnsi="Calibri" w:cs="Calibri"/>
          <w:sz w:val="22"/>
          <w:szCs w:val="22"/>
        </w:rPr>
        <w:t xml:space="preserve"> </w:t>
      </w:r>
    </w:p>
    <w:p w:rsidR="00FE1407" w:rsidRDefault="00FE1407" w:rsidP="00663210">
      <w:pPr>
        <w:pStyle w:val="a4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</w:t>
      </w:r>
      <w:r w:rsidRPr="00F00C94">
        <w:rPr>
          <w:rFonts w:ascii="Calibri" w:hAnsi="Calibri" w:cs="Calibri"/>
          <w:sz w:val="22"/>
          <w:szCs w:val="22"/>
        </w:rPr>
        <w:t>азходи</w:t>
      </w:r>
      <w:r>
        <w:rPr>
          <w:rFonts w:ascii="Calibri" w:hAnsi="Calibri" w:cs="Calibri"/>
          <w:sz w:val="22"/>
          <w:szCs w:val="22"/>
        </w:rPr>
        <w:t>те за отчетния период на 20</w:t>
      </w:r>
      <w:r w:rsidR="006A2586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 xml:space="preserve"> г. възлизат на </w:t>
      </w:r>
      <w:r w:rsidRPr="00F00C94">
        <w:rPr>
          <w:rFonts w:ascii="Calibri" w:hAnsi="Calibri" w:cs="Calibri"/>
          <w:sz w:val="22"/>
          <w:szCs w:val="22"/>
        </w:rPr>
        <w:t xml:space="preserve"> </w:t>
      </w:r>
      <w:r w:rsidR="00AF5A52">
        <w:rPr>
          <w:rFonts w:ascii="Calibri" w:hAnsi="Calibri" w:cs="Calibri"/>
          <w:sz w:val="22"/>
          <w:szCs w:val="22"/>
        </w:rPr>
        <w:t>2333</w:t>
      </w:r>
      <w:r w:rsidRPr="00915D8A">
        <w:rPr>
          <w:rFonts w:ascii="Calibri" w:hAnsi="Calibri" w:cs="Calibri"/>
          <w:sz w:val="22"/>
          <w:szCs w:val="22"/>
        </w:rPr>
        <w:t xml:space="preserve"> </w:t>
      </w:r>
      <w:r w:rsidRPr="00F00C94">
        <w:rPr>
          <w:rFonts w:ascii="Calibri" w:hAnsi="Calibri" w:cs="Calibri"/>
          <w:sz w:val="22"/>
          <w:szCs w:val="22"/>
        </w:rPr>
        <w:t>х.лв.</w:t>
      </w:r>
      <w:r>
        <w:rPr>
          <w:rFonts w:ascii="Calibri" w:hAnsi="Calibri" w:cs="Calibri"/>
          <w:sz w:val="22"/>
          <w:szCs w:val="22"/>
        </w:rPr>
        <w:t xml:space="preserve"> спрямо </w:t>
      </w:r>
      <w:r w:rsidR="00AF5A52">
        <w:rPr>
          <w:rFonts w:ascii="Calibri" w:hAnsi="Calibri" w:cs="Calibri"/>
          <w:sz w:val="22"/>
          <w:szCs w:val="22"/>
        </w:rPr>
        <w:t>2398</w:t>
      </w:r>
      <w:r>
        <w:rPr>
          <w:rFonts w:ascii="Calibri" w:hAnsi="Calibri" w:cs="Calibri"/>
          <w:sz w:val="22"/>
          <w:szCs w:val="22"/>
        </w:rPr>
        <w:t xml:space="preserve"> хил.лв. за същия период на 201</w:t>
      </w:r>
      <w:r w:rsidR="006A2586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г.</w:t>
      </w:r>
    </w:p>
    <w:p w:rsidR="00FE1407" w:rsidRPr="00F00C94" w:rsidRDefault="00FE1407" w:rsidP="00663210">
      <w:pPr>
        <w:pStyle w:val="a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FE1407" w:rsidRPr="00F00C94" w:rsidRDefault="00FE1407" w:rsidP="00B8068B">
      <w:pPr>
        <w:pStyle w:val="a3"/>
      </w:pPr>
      <w:r w:rsidRPr="00F00C94">
        <w:t xml:space="preserve"> </w:t>
      </w:r>
      <w:r w:rsidRPr="00F00C94">
        <w:rPr>
          <w:b/>
          <w:bCs/>
        </w:rPr>
        <w:t>Ликвидност –</w:t>
      </w:r>
      <w:r w:rsidRPr="00F00C94">
        <w:t>способността на дружеството да покрива текущите си задължения с парични средства и други бързоликвидни активи. Ликвидността е предпоставка за платежоспособност.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                                     КРАТКОТРАЙНИ  -  МАТЕРИАЛНИ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АКТИВИ                        ЗАПАСИ</w:t>
      </w:r>
    </w:p>
    <w:p w:rsidR="00FE1407" w:rsidRPr="00915D8A" w:rsidRDefault="00FE1407" w:rsidP="00B8068B">
      <w:pPr>
        <w:pStyle w:val="a3"/>
        <w:rPr>
          <w:rFonts w:cs="Times New Roman"/>
        </w:rPr>
      </w:pPr>
      <w:r w:rsidRPr="00F00C94">
        <w:t xml:space="preserve">    Коефициент за    = </w:t>
      </w:r>
      <w:r w:rsidRPr="00915D8A">
        <w:t xml:space="preserve">---------------------------------------------------------  = </w:t>
      </w:r>
      <w:r w:rsidR="00AF5A52">
        <w:t>3,60</w:t>
      </w:r>
    </w:p>
    <w:p w:rsidR="00FE1407" w:rsidRDefault="00FE1407" w:rsidP="00B8068B">
      <w:pPr>
        <w:pStyle w:val="a3"/>
        <w:rPr>
          <w:rFonts w:cs="Times New Roman"/>
        </w:rPr>
      </w:pPr>
      <w:r w:rsidRPr="00F00C94">
        <w:t xml:space="preserve">    бърза ликвидност            ТЕКУЩИ ЗАДЪЛЖЕНИЯ</w:t>
      </w: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Default="00FE1407" w:rsidP="00D0098F">
      <w:pPr>
        <w:pStyle w:val="a3"/>
        <w:jc w:val="center"/>
        <w:rPr>
          <w:rFonts w:cs="Times New Roman"/>
          <w:b/>
          <w:bCs/>
          <w:sz w:val="14"/>
          <w:szCs w:val="14"/>
        </w:rPr>
      </w:pPr>
    </w:p>
    <w:p w:rsidR="00FE1407" w:rsidRPr="00F00C94" w:rsidRDefault="00FE1407" w:rsidP="00B8068B">
      <w:pPr>
        <w:pStyle w:val="a3"/>
        <w:rPr>
          <w:rFonts w:cs="Times New Roman"/>
        </w:rPr>
      </w:pPr>
    </w:p>
    <w:p w:rsidR="00FE1407" w:rsidRPr="00F00C94" w:rsidRDefault="00FE1407" w:rsidP="00B8068B">
      <w:pPr>
        <w:pStyle w:val="a3"/>
      </w:pPr>
      <w:r w:rsidRPr="00F00C94">
        <w:t xml:space="preserve">                               ПАРИЧНИ          КР. ИНВЕСТИЦИИ</w:t>
      </w:r>
    </w:p>
    <w:p w:rsidR="00FE1407" w:rsidRPr="00F00C94" w:rsidRDefault="00FE1407" w:rsidP="00B8068B">
      <w:pPr>
        <w:pStyle w:val="a3"/>
      </w:pPr>
      <w:r w:rsidRPr="00F00C94">
        <w:t xml:space="preserve">    Коефициент       СРЕДСТВА +     /ФИНАНСОВИ АКТИВИ/</w:t>
      </w:r>
    </w:p>
    <w:p w:rsidR="00FE1407" w:rsidRPr="00915D8A" w:rsidRDefault="00FE1407" w:rsidP="00B8068B">
      <w:pPr>
        <w:pStyle w:val="a3"/>
        <w:rPr>
          <w:rFonts w:cs="Times New Roman"/>
        </w:rPr>
      </w:pPr>
      <w:r w:rsidRPr="00F00C94">
        <w:t xml:space="preserve">    за незабавна  = ------------------------------------------------------------  = </w:t>
      </w:r>
      <w:r w:rsidR="00AF5A52">
        <w:t>1,11</w:t>
      </w:r>
    </w:p>
    <w:p w:rsidR="00FE1407" w:rsidRPr="00F00C94" w:rsidRDefault="00FE1407" w:rsidP="00B8068B">
      <w:pPr>
        <w:pStyle w:val="a3"/>
      </w:pPr>
      <w:r w:rsidRPr="00F00C94">
        <w:t xml:space="preserve">    ликвидност         ТЕКУЩИ ЗАДЪЛЖЕНИЯ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rPr>
          <w:b/>
          <w:bCs/>
        </w:rPr>
        <w:t xml:space="preserve"> Рентабилността</w:t>
      </w:r>
      <w:r w:rsidRPr="00F00C94">
        <w:t xml:space="preserve"> е  способността на фирмата да носи полза на  нейните собственици, способността на капитала да произвежда  резултат, печалба. От друга страна е степен на доходност на капитала.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   Търговска               БРУТЕН  ФИНАНСОВ РЕЗУЛТАТ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   рентабилност  =  -------------------------------------------------  =</w:t>
      </w:r>
      <w:r w:rsidR="00AF5A52">
        <w:t>13,72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         ПРИХОДИ ОТ ПРОДАЖБИ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8068B">
      <w:pPr>
        <w:pStyle w:val="a3"/>
      </w:pPr>
      <w:r w:rsidRPr="00F00C94">
        <w:t xml:space="preserve">  Рентабилност          БРУТЕН ФИНАНСОВ РЕЗУЛТАТ</w:t>
      </w:r>
    </w:p>
    <w:p w:rsidR="00FE1407" w:rsidRPr="00663210" w:rsidRDefault="00FE1407" w:rsidP="00B8068B">
      <w:pPr>
        <w:pStyle w:val="a3"/>
        <w:rPr>
          <w:rFonts w:cs="Times New Roman"/>
        </w:rPr>
      </w:pPr>
      <w:r w:rsidRPr="00F00C94">
        <w:t xml:space="preserve">  на активите    =      -----------------------------------------------  </w:t>
      </w:r>
      <w:r w:rsidRPr="00915D8A">
        <w:t xml:space="preserve">= </w:t>
      </w:r>
      <w:r w:rsidR="000D2C3B">
        <w:t>0,75</w:t>
      </w:r>
    </w:p>
    <w:p w:rsidR="00FE1407" w:rsidRPr="00F00C94" w:rsidRDefault="00FE1407" w:rsidP="00B8068B">
      <w:pPr>
        <w:pStyle w:val="a3"/>
      </w:pPr>
      <w:r w:rsidRPr="00F00C94">
        <w:t xml:space="preserve">                                             РЕАЛНИ АКТИВИ</w:t>
      </w:r>
    </w:p>
    <w:p w:rsidR="00FE1407" w:rsidRPr="00F00C94" w:rsidRDefault="00FE1407" w:rsidP="00B8068B">
      <w:pPr>
        <w:pStyle w:val="a3"/>
      </w:pPr>
    </w:p>
    <w:p w:rsidR="00FE1407" w:rsidRPr="00F00C94" w:rsidRDefault="00FE1407" w:rsidP="00B95CF9">
      <w:pPr>
        <w:pStyle w:val="a3"/>
        <w:ind w:firstLine="708"/>
        <w:jc w:val="both"/>
      </w:pPr>
      <w:r w:rsidRPr="00F00C94">
        <w:t xml:space="preserve">Финансовото състояние на дружеството през </w:t>
      </w:r>
      <w:r w:rsidR="006A2586">
        <w:t xml:space="preserve">първо тримесечие на </w:t>
      </w:r>
      <w:r w:rsidRPr="00F00C94">
        <w:t>20</w:t>
      </w:r>
      <w:r w:rsidR="006A2586">
        <w:t>20</w:t>
      </w:r>
      <w:r w:rsidRPr="00F00C94">
        <w:t xml:space="preserve"> година е добро, което се потвърждава от финансовия анализ.</w:t>
      </w:r>
    </w:p>
    <w:p w:rsidR="00FE1407" w:rsidRPr="00F00C94" w:rsidRDefault="00FE1407" w:rsidP="00B95CF9">
      <w:pPr>
        <w:pStyle w:val="a3"/>
        <w:ind w:firstLine="708"/>
        <w:jc w:val="both"/>
      </w:pPr>
    </w:p>
    <w:p w:rsidR="00FE1407" w:rsidRPr="00F00C94" w:rsidRDefault="00FE1407" w:rsidP="003C4B2D">
      <w:pPr>
        <w:pStyle w:val="a4"/>
        <w:ind w:firstLine="708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През месец март 2016 година, Ръководството на дружеството е сключило </w:t>
      </w:r>
      <w:r w:rsidRPr="00F00C94">
        <w:rPr>
          <w:rFonts w:ascii="Calibri" w:hAnsi="Calibri" w:cs="Calibri"/>
          <w:i/>
          <w:iCs/>
          <w:sz w:val="22"/>
          <w:szCs w:val="22"/>
        </w:rPr>
        <w:t>Договор за стопанисване, поддържане и експлоатация на ВИК системите и съоръженията и предоставяне на водоснабдителни и канализационни услуги</w:t>
      </w:r>
      <w:r w:rsidRPr="00F00C94">
        <w:rPr>
          <w:rFonts w:ascii="Calibri" w:hAnsi="Calibri" w:cs="Calibri"/>
          <w:sz w:val="22"/>
          <w:szCs w:val="22"/>
        </w:rPr>
        <w:t xml:space="preserve"> с Асоциацията по В и К на обособената територия (АВиК), на която оперира дружеството. Съгласно условията на договора, неговият срок е 15 години, считано от 1 април 2016 година, като задължителното минимално ниво на инвестиции, които дружеството следва да направи за целия период е 3,994 хил. лв.  </w:t>
      </w: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6A2586" w:rsidRDefault="006A2586" w:rsidP="003C4B2D">
      <w:pPr>
        <w:pStyle w:val="a4"/>
        <w:rPr>
          <w:rFonts w:ascii="Calibri" w:hAnsi="Calibri" w:cs="Calibri"/>
          <w:sz w:val="22"/>
          <w:szCs w:val="22"/>
        </w:rPr>
      </w:pP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3C4B2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 xml:space="preserve">Във връзка с влизането в сила на посочения договор с АВиК, комплексните и значимите язовири, включително водохранилищата им и събирателните им деривации, както и съоръженията и системите за водоснабдяване на населените места, както и съоръженията и системите за отвеждане и пречистване на отпадъчните води са обявени за публична държавна и/или публична общинска собственост. Тези активи са предадени на държавата и общините и с тяхната преносна стойност е намален собствения капитал дружеството. Управлението на активите ще се осъществява от АВиК, като дейността по водоснабдяване и отвеждане на отпадъчните води ще продължи да се осъществява от  дружеството, на база на сключения договор. </w:t>
      </w:r>
    </w:p>
    <w:p w:rsidR="00F51755" w:rsidRDefault="00F51755" w:rsidP="00F51755">
      <w:pPr>
        <w:ind w:firstLine="426"/>
        <w:jc w:val="both"/>
      </w:pPr>
      <w:r w:rsidRPr="00E17BF6">
        <w:t xml:space="preserve">През месец август 2019 г. „Водоснабдяване и канализация“ ООД гр. Силистра сключи Административен договор Д-34-66/21,08,2019 г.за предоставяне на безвъзмездна финансова помощ по  Оперативна програма „Околна среда 2014-2020 г.”, съфинансирана от Европейския фонд за регионално развитие и Кохезионния фонд на Европейския съюз по процедура чрез директно предоставяне №BG161M1OP002-1.016 „Изграждане на ВиК инфраструктура“ . Общата стойност на проекта е в размер на 79 364 379,48 лв. с ДДС. Срокът за изпълнение на проекта е не по-късно от 31 декември 2023 г. Размерът на безвъзмездната финансова помощ е в размер на 89,85%, т.е. дружеството следва да предостави собствено участие в размер на 6 714 998,50 лв. (до 2023 г. включително) . За успешно изпълнение на проекта ВиК дружеството проучва  условия за финансиране на разходи за собствено участие и  револвираща кредитна линия за финансиране на възстановим ДДС (недопустим разход) при изпълнение на проект по ОП „Околна среда 2014-2020 г.“. </w:t>
      </w:r>
    </w:p>
    <w:tbl>
      <w:tblPr>
        <w:tblW w:w="94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2860"/>
      </w:tblGrid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1 ПОДГОТОВКА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звеното за подготовка на проекта (ЗПП)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43 101,12 лв.</w:t>
            </w:r>
          </w:p>
        </w:tc>
      </w:tr>
      <w:tr w:rsidR="005A14F4" w:rsidRPr="005A14F4" w:rsidTr="005A14F4">
        <w:trPr>
          <w:trHeight w:val="585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подготовка на документации за възлагане на обществени поръчки за избор на изпълнители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81 300,00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предварителна ОСИП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81 745,20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актуализация на данни по проектното предложение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18 000,00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 за извършване на оценка на засегнатите имоти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35 184,00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Такси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4 800,00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Придобиване/отчуждаване на земя, водоснабдяване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80 727,20 лв.</w:t>
            </w:r>
          </w:p>
        </w:tc>
      </w:tr>
      <w:tr w:rsidR="005A14F4" w:rsidRPr="005A14F4" w:rsidTr="005A14F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344 857,52 лв.</w:t>
            </w:r>
          </w:p>
        </w:tc>
      </w:tr>
      <w:tr w:rsidR="005A14F4" w:rsidRPr="005A14F4" w:rsidTr="005A14F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5A14F4" w:rsidRPr="005A14F4" w:rsidTr="005A14F4">
        <w:trPr>
          <w:trHeight w:val="585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ПРОЕКТИРАНЕ И СТРОИТЕЛСТВО - ОБЩ. ПОРЪЧКИ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1: „Реконструкция и доизграждане на ВиК мрежи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гр. Силистра“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8 739 594,95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2: „Реконструкция и доизграждане на ВиК мрежи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с.Айдемир“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22 629 495,07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3: „Реконструкция и доизграждане на ВиК мрежи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с.Калипетрово“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20 723 615,93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4:"Реконструкция на водопроводна мрежа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гр. Тутракан"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1 409 572,02 лв.</w:t>
            </w:r>
          </w:p>
        </w:tc>
      </w:tr>
      <w:tr w:rsidR="005A14F4" w:rsidRPr="005A14F4" w:rsidTr="005A14F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 Обект 5:"Реконструкция на външни довеждащи водопроводи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 xml:space="preserve">гр. Силистра"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A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9 098 589,70 лв.</w:t>
            </w:r>
          </w:p>
        </w:tc>
      </w:tr>
    </w:tbl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lastRenderedPageBreak/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tbl>
      <w:tblPr>
        <w:tblW w:w="94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2860"/>
      </w:tblGrid>
      <w:tr w:rsidR="005A14F4" w:rsidRPr="005A14F4" w:rsidTr="00512D74">
        <w:trPr>
          <w:trHeight w:val="6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 xml:space="preserve">Проектиране и строителство заа Обект 6:"Реконструкция на външни довеждащи водопроводи в </w:t>
            </w:r>
            <w:r w:rsidRPr="005A1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гр. Тутракан"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8 982 912,90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2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71 583 780,57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ДЕЙНОСТ 3 - ЗА НСН и ФИДИК 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9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Упражняване на НСН и изпълняване на функциите на Инженер по ФИДИК за обекти, свързани с ВиК мрежи гр. Силистра, в с. Айдемир и с. Калипетрово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1 308 860,36 лв.</w:t>
            </w:r>
          </w:p>
        </w:tc>
      </w:tr>
      <w:tr w:rsidR="005A14F4" w:rsidRPr="005A14F4" w:rsidTr="00512D74">
        <w:trPr>
          <w:trHeight w:val="900"/>
        </w:trPr>
        <w:tc>
          <w:tcPr>
            <w:tcW w:w="6600" w:type="dxa"/>
            <w:shd w:val="clear" w:color="auto" w:fill="auto"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Упражняване на НСН и изпълняване на функциите на Инженер по ФИДИК за обекти, свързани с външни водопроводи и водопроводна мрежа на гр. Тутракан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530 798,93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1 839 659,29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УПРАВЛЕНИЕ НА ПРОЕКТА - ДЕЙНОСТ 4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Управление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3 644 788,92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ДЕЙНОСТ 5 ИНФОРМАЦИЯ И ПУБЛИЧНОСТ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и публичност на проекта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239 669,58 лв.</w:t>
            </w:r>
          </w:p>
        </w:tc>
      </w:tr>
      <w:tr w:rsidR="005A14F4" w:rsidRPr="005A14F4" w:rsidTr="00512D74">
        <w:trPr>
          <w:trHeight w:val="300"/>
        </w:trPr>
        <w:tc>
          <w:tcPr>
            <w:tcW w:w="660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ДЕЙНОСТ 6 ПОВИШАВАНЕ ЕФЕКТИВНОСТТА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лв. С ДДС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Проектиране и изграждане на ГИС 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lang w:eastAsia="bg-BG"/>
              </w:rPr>
              <w:t>1 711 623,60 лв.</w:t>
            </w:r>
          </w:p>
        </w:tc>
      </w:tr>
      <w:tr w:rsidR="005A14F4" w:rsidRPr="005A14F4" w:rsidTr="00512D74">
        <w:trPr>
          <w:trHeight w:val="315"/>
        </w:trPr>
        <w:tc>
          <w:tcPr>
            <w:tcW w:w="6600" w:type="dxa"/>
            <w:shd w:val="clear" w:color="auto" w:fill="auto"/>
            <w:vAlign w:val="center"/>
            <w:hideMark/>
          </w:tcPr>
          <w:p w:rsidR="005A14F4" w:rsidRPr="005A14F4" w:rsidRDefault="005A14F4" w:rsidP="0051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ОБЩО ЗА ДЕЙНОСТ 6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5A14F4" w:rsidRPr="005A14F4" w:rsidRDefault="005A14F4" w:rsidP="00512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5A14F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1 711 623,60 лв.</w:t>
            </w:r>
          </w:p>
        </w:tc>
      </w:tr>
    </w:tbl>
    <w:p w:rsidR="00FE1407" w:rsidRDefault="00FE1407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51755" w:rsidRPr="00F00C94" w:rsidRDefault="00F51755" w:rsidP="003C4B2D">
      <w:pPr>
        <w:pStyle w:val="a4"/>
        <w:rPr>
          <w:rFonts w:ascii="Calibri" w:hAnsi="Calibri" w:cs="Calibri"/>
          <w:sz w:val="22"/>
          <w:szCs w:val="22"/>
        </w:rPr>
      </w:pPr>
    </w:p>
    <w:p w:rsidR="00FE1407" w:rsidRPr="00F00C94" w:rsidRDefault="00FE1407" w:rsidP="003C4B2D">
      <w:pPr>
        <w:pStyle w:val="a4"/>
        <w:rPr>
          <w:rFonts w:ascii="Calibri" w:hAnsi="Calibri" w:cs="Calibri"/>
          <w:sz w:val="22"/>
          <w:szCs w:val="22"/>
        </w:rPr>
      </w:pPr>
      <w:r w:rsidRPr="00F00C94">
        <w:rPr>
          <w:rFonts w:ascii="Calibri" w:hAnsi="Calibri" w:cs="Calibri"/>
          <w:sz w:val="22"/>
          <w:szCs w:val="22"/>
        </w:rPr>
        <w:tab/>
        <w:t>ВиК оператора организира и осъществява счетоводството и счетоводните си системи в съответствие със Закона за счетоводството, Закона за регулиране на водоснабдителните и канализационните услуги и възприетата вътрешна счетоводна политика и индивидуален сметкоплан, предназначен за регулаторно счетоводно отчитане. Целта е създаване на условия за еднозначно отделяне на регулираната от нерегулирана дейности  и създаване на подробна аналитичност за видовите услуги.</w:t>
      </w:r>
    </w:p>
    <w:p w:rsidR="00FE1407" w:rsidRPr="00F00C94" w:rsidRDefault="00FE1407" w:rsidP="00B95CF9">
      <w:pPr>
        <w:pStyle w:val="a3"/>
        <w:ind w:firstLine="708"/>
        <w:jc w:val="both"/>
        <w:rPr>
          <w:rFonts w:cs="Times New Roman"/>
        </w:rPr>
      </w:pPr>
    </w:p>
    <w:p w:rsidR="00FE1407" w:rsidRDefault="00FE1407" w:rsidP="00B95CF9">
      <w:pPr>
        <w:pStyle w:val="a3"/>
        <w:jc w:val="both"/>
        <w:rPr>
          <w:rFonts w:cs="Times New Roman"/>
        </w:rPr>
      </w:pPr>
      <w:r w:rsidRPr="00F00C94">
        <w:rPr>
          <w:rFonts w:cs="Times New Roman"/>
        </w:rPr>
        <w:tab/>
      </w:r>
      <w:r w:rsidRPr="00F00C94">
        <w:t>Дружеството има статут на действащо предприятие, което не предвижда и няма необходимост от ликвидиране или ограничаване на мащабите на своята дейност.</w:t>
      </w:r>
    </w:p>
    <w:p w:rsidR="00FE1407" w:rsidRPr="00F00C94" w:rsidRDefault="00FE1407" w:rsidP="00B95CF9">
      <w:pPr>
        <w:pStyle w:val="a3"/>
        <w:jc w:val="both"/>
        <w:rPr>
          <w:rFonts w:cs="Times New Roman"/>
        </w:rPr>
      </w:pPr>
    </w:p>
    <w:p w:rsidR="00FE1407" w:rsidRDefault="00FE1407" w:rsidP="00B95CF9">
      <w:pPr>
        <w:pStyle w:val="a3"/>
        <w:jc w:val="both"/>
        <w:rPr>
          <w:rFonts w:cs="Times New Roman"/>
        </w:rPr>
      </w:pPr>
      <w:r w:rsidRPr="00F00C94">
        <w:t xml:space="preserve">  </w:t>
      </w:r>
      <w:r w:rsidRPr="00F00C94">
        <w:rPr>
          <w:b/>
          <w:bCs/>
        </w:rPr>
        <w:t xml:space="preserve">      </w:t>
      </w:r>
      <w:r w:rsidRPr="00F00C94">
        <w:t xml:space="preserve">      Дружеството и в бъдеще  ще продължи да работи в посока осигуряване на качествена "ВиК" услуга, отговаряща на високите изисквания на потребителите в Силистренска област и стремежа им към по-висок жизнен стандарт. </w:t>
      </w:r>
    </w:p>
    <w:p w:rsidR="00FE1407" w:rsidRDefault="00FE1407" w:rsidP="00B95CF9">
      <w:pPr>
        <w:pStyle w:val="a3"/>
        <w:jc w:val="both"/>
        <w:rPr>
          <w:rFonts w:cs="Times New Roman"/>
        </w:rPr>
      </w:pP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Относно изискването на чл. 100 „н”, ал. 7, т. 1 от ЗППЦК за изготвяне и представяне от страна на дружеството на декларация за корпоративно управление.</w:t>
      </w:r>
    </w:p>
    <w:p w:rsidR="00FE1407" w:rsidRPr="00C458D8" w:rsidRDefault="00FE1407" w:rsidP="00EA5A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Въз основа на публично достъпна информация  за Становище на Председателя на комисия за финансов надзор (изх. </w:t>
      </w:r>
      <w:r w:rsidRPr="00C458D8">
        <w:rPr>
          <w:rFonts w:ascii="Times New Roman" w:hAnsi="Times New Roman" w:cs="Times New Roman"/>
          <w:sz w:val="24"/>
          <w:szCs w:val="24"/>
          <w:lang w:val="en-US"/>
        </w:rPr>
        <w:t>N:</w:t>
      </w:r>
      <w:r w:rsidRPr="00C458D8">
        <w:rPr>
          <w:rFonts w:ascii="Times New Roman" w:hAnsi="Times New Roman" w:cs="Times New Roman"/>
          <w:sz w:val="24"/>
          <w:szCs w:val="24"/>
        </w:rPr>
        <w:t xml:space="preserve"> 93-00-1486/03.02.2017), ръководството на дружеството е преценило, че до колкото </w:t>
      </w: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„Водоснабдяване и Канализация“ ООД гр. Силистра е в обхвата на лицата по § 1 от ДР на ЗППЦК, дружеството няма задължения да изготвя и представя  в КФН, декларация за корпоративно управление по реда на чл. 100 „н”, ал. 7 от ЗППЦК, със съдържанието по чл. 100 „н”, ал. 8 от същия закон. Поради това, „Водоснабдяване и Канализация“ ООД гр. Силистра не е изготвило и представило декларация за корпоративно управление, като част от годишния доклад за дейността.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lastRenderedPageBreak/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C458D8" w:rsidRDefault="00FE1407" w:rsidP="0096189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Допълнителна информация към финансовия отчет на „Водоснабдяване и Канализация“ ООД гр. Силистра 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346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B368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г., съгласно чл.33, ал.1, т.6 от Наредба № 2 от 17.09.2003 г. за проспектите при публично предлагане и допускане на регулирания пазар на ценни книжа и за разкриването на информация от публичните дружества и другите емитенти на ценни книжа.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промените в счетоводната политика през отчетния период, причините за тяхното извършване и по какъв начин се отразяват на финансовия резултат и собствения капитал на емитента;</w:t>
      </w:r>
    </w:p>
    <w:p w:rsidR="00FE1407" w:rsidRPr="00C458D8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настъпили промени в икономическата група на емитента, ако участва в такава група;</w:t>
      </w:r>
    </w:p>
    <w:p w:rsidR="00FE1407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  <w:lang w:val="en-US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резултатите от организационни промени в рамките на емитента, като преобразуване, продажба на дружества от икономическата група, апортни вноски от дружеството, даване под наем на имущество, дългосрочни инвестиции, преустановяване на дейност;</w:t>
      </w:r>
    </w:p>
    <w:p w:rsidR="00FE1407" w:rsidRPr="00C458D8" w:rsidRDefault="00FE1407" w:rsidP="00EA5A6D">
      <w:pPr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Становище на управляващия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шестмесечие, както и информация за факторите и обстоятелствата, които ще повлияят на постигането на прогнозните резултати най-малко за следващото тримесечие;</w:t>
      </w:r>
    </w:p>
    <w:p w:rsidR="00FE1407" w:rsidRPr="00C458D8" w:rsidRDefault="00FE1407" w:rsidP="00EA5A6D">
      <w:pPr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 промени.</w:t>
      </w: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Данни за съдружниците, притежаващи пряко и непряко най-малко 5 на сто от гласовете в общото събрание към края на съответното тримесечие, и промените в притежаваните от съдружниците гласове за периода от края на предходния тримесечен период;</w:t>
      </w:r>
    </w:p>
    <w:p w:rsidR="00FE1407" w:rsidRPr="00E9760F" w:rsidRDefault="00FE1407" w:rsidP="00EA5A6D">
      <w:pPr>
        <w:pStyle w:val="ae"/>
        <w:spacing w:after="0" w:line="240" w:lineRule="auto"/>
        <w:ind w:left="1068"/>
        <w:jc w:val="both"/>
        <w:rPr>
          <w:rFonts w:ascii="Times New Roman" w:hAnsi="Times New Roman" w:cs="Times New Roman"/>
          <w:i/>
          <w:iCs/>
          <w:highlight w:val="yellow"/>
        </w:rPr>
      </w:pPr>
    </w:p>
    <w:tbl>
      <w:tblPr>
        <w:tblW w:w="930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5"/>
        <w:gridCol w:w="951"/>
        <w:gridCol w:w="1324"/>
        <w:gridCol w:w="199"/>
        <w:gridCol w:w="1036"/>
        <w:gridCol w:w="652"/>
        <w:gridCol w:w="1549"/>
        <w:gridCol w:w="1292"/>
        <w:gridCol w:w="918"/>
        <w:gridCol w:w="558"/>
      </w:tblGrid>
      <w:tr w:rsidR="00FE1407" w:rsidRPr="008A13E1">
        <w:trPr>
          <w:gridBefore w:val="1"/>
          <w:wBefore w:w="825" w:type="dxa"/>
          <w:trHeight w:val="229"/>
        </w:trPr>
        <w:tc>
          <w:tcPr>
            <w:tcW w:w="847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881D1D" w:rsidRDefault="00FE1407" w:rsidP="003F2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>Капитал: 192410 лв., разпределен в 19241 дяла всеки от по 1</w:t>
            </w: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  <w:t>0</w:t>
            </w: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 лева.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FE1407" w:rsidRPr="008A13E1">
        <w:trPr>
          <w:gridBefore w:val="1"/>
          <w:wBefore w:w="825" w:type="dxa"/>
          <w:trHeight w:val="321"/>
        </w:trPr>
        <w:tc>
          <w:tcPr>
            <w:tcW w:w="57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881D1D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881D1D"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  <w:t xml:space="preserve">Съдружници в дружеството са: </w:t>
            </w:r>
          </w:p>
          <w:p w:rsidR="00FE1407" w:rsidRPr="00881D1D" w:rsidRDefault="00FE1407" w:rsidP="003F26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  <w:lang w:eastAsia="bg-BG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bg-BG"/>
              </w:rPr>
            </w:pP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 xml:space="preserve">Държава 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9813 дяла</w:t>
            </w:r>
          </w:p>
        </w:tc>
        <w:tc>
          <w:tcPr>
            <w:tcW w:w="12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98130 лв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51%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Алфатар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Главиница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962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9620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5%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Дулово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10%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Кайнарджа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Силистра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4233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42330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22%</w:t>
            </w:r>
          </w:p>
        </w:tc>
      </w:tr>
      <w:tr w:rsidR="00FE1407" w:rsidRPr="000E67B2">
        <w:trPr>
          <w:gridAfter w:val="4"/>
          <w:wAfter w:w="4317" w:type="dxa"/>
          <w:trHeight w:val="254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Ситово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3850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2%</w:t>
            </w:r>
          </w:p>
        </w:tc>
      </w:tr>
      <w:tr w:rsidR="00FE1407" w:rsidRPr="000E67B2">
        <w:trPr>
          <w:gridAfter w:val="4"/>
          <w:wAfter w:w="4317" w:type="dxa"/>
          <w:trHeight w:val="269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Община Тутракан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1347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13470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7%</w:t>
            </w:r>
          </w:p>
        </w:tc>
      </w:tr>
      <w:tr w:rsidR="00FE1407" w:rsidRPr="000E67B2">
        <w:trPr>
          <w:gridAfter w:val="4"/>
          <w:wAfter w:w="4317" w:type="dxa"/>
          <w:trHeight w:val="269"/>
        </w:trPr>
        <w:tc>
          <w:tcPr>
            <w:tcW w:w="1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19241 дяла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E1407" w:rsidRPr="000E67B2" w:rsidRDefault="00FE14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192410 лв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E1407" w:rsidRPr="000E67B2" w:rsidRDefault="00FE1407" w:rsidP="007632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67B2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</w:tr>
      <w:tr w:rsidR="00FE1407" w:rsidRPr="008A13E1">
        <w:trPr>
          <w:gridBefore w:val="1"/>
          <w:gridAfter w:val="1"/>
          <w:wBefore w:w="825" w:type="dxa"/>
          <w:wAfter w:w="558" w:type="dxa"/>
          <w:trHeight w:val="229"/>
        </w:trPr>
        <w:tc>
          <w:tcPr>
            <w:tcW w:w="24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E1407" w:rsidRPr="00E9760F" w:rsidRDefault="00FE1407" w:rsidP="008B7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E1407" w:rsidRPr="00E9760F" w:rsidRDefault="00FE1407" w:rsidP="008B79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highlight w:val="yellow"/>
                <w:lang w:eastAsia="bg-BG"/>
              </w:rPr>
            </w:pPr>
          </w:p>
        </w:tc>
      </w:tr>
    </w:tbl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lastRenderedPageBreak/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Default="00FE1407" w:rsidP="004D0F7C">
      <w:pPr>
        <w:pStyle w:val="ae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E1407" w:rsidRPr="00CE5AA1" w:rsidRDefault="00FE1407" w:rsidP="00CE5AA1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 xml:space="preserve">Данни за акциите, притежавани от управителните и контролните органи на емитента към края на съответното тримесечие, както и промените, </w:t>
      </w:r>
      <w:r w:rsidRPr="00CE5AA1">
        <w:rPr>
          <w:rFonts w:ascii="Times New Roman" w:hAnsi="Times New Roman" w:cs="Times New Roman"/>
          <w:i/>
          <w:iCs/>
          <w:sz w:val="24"/>
          <w:szCs w:val="24"/>
        </w:rPr>
        <w:t>настъпили за периода от края на предходния тримесечен период за всяко лице поотделно;</w:t>
      </w:r>
    </w:p>
    <w:p w:rsidR="00FE1407" w:rsidRPr="00C458D8" w:rsidRDefault="00FE1407" w:rsidP="00EA5A6D">
      <w:pPr>
        <w:pStyle w:val="ae"/>
        <w:ind w:left="1068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C458D8" w:rsidRDefault="00FE1407" w:rsidP="00EA5A6D">
      <w:pPr>
        <w:pStyle w:val="af"/>
        <w:numPr>
          <w:ilvl w:val="0"/>
          <w:numId w:val="4"/>
        </w:numPr>
        <w:rPr>
          <w:i/>
          <w:iCs/>
        </w:rPr>
      </w:pPr>
      <w:r w:rsidRPr="00C458D8">
        <w:rPr>
          <w:i/>
          <w:iCs/>
        </w:rPr>
        <w:t>Информация за висящи съдебни, административни или арбитражни производства, касаещи задължения или вземания в размер най-малко 10 на сто от собствения капитал на емитента; ако общата стойност на задълженията или вземанията на емитента по всички образувани производства надхвърля 10 на сто от собствения му капитал, се представя информация за всяко производство поотделно;</w:t>
      </w:r>
    </w:p>
    <w:p w:rsidR="00FE1407" w:rsidRPr="00C458D8" w:rsidRDefault="00FE1407" w:rsidP="00EA5A6D">
      <w:pPr>
        <w:pStyle w:val="af"/>
        <w:ind w:left="1077" w:firstLine="0"/>
        <w:rPr>
          <w:i/>
          <w:iCs/>
        </w:rPr>
      </w:pPr>
    </w:p>
    <w:p w:rsidR="00FE1407" w:rsidRDefault="00FE1407" w:rsidP="00EA5A6D">
      <w:pPr>
        <w:pStyle w:val="af"/>
        <w:ind w:left="1077" w:firstLine="0"/>
      </w:pPr>
      <w:r w:rsidRPr="00C458D8">
        <w:t>„В и К“ ООД гр. Силистра няма висящи съдебни, административни или арбитражни производства, касаещи задължения или вземания в размер най-малко 10 на сто от собствения капитал, както и решения или искания за прекратяване и обявяване в ликвидация.</w:t>
      </w:r>
    </w:p>
    <w:p w:rsidR="00FE1407" w:rsidRDefault="00FE1407" w:rsidP="00EA5A6D">
      <w:pPr>
        <w:pStyle w:val="af"/>
        <w:ind w:left="1077" w:firstLine="0"/>
      </w:pPr>
    </w:p>
    <w:p w:rsidR="00FE1407" w:rsidRPr="00C458D8" w:rsidRDefault="00FE1407" w:rsidP="00EA5A6D">
      <w:pPr>
        <w:pStyle w:val="af"/>
        <w:ind w:left="1077"/>
      </w:pPr>
    </w:p>
    <w:p w:rsidR="00FE1407" w:rsidRPr="00C458D8" w:rsidRDefault="00FE1407" w:rsidP="00EA5A6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458D8">
        <w:rPr>
          <w:rFonts w:ascii="Times New Roman" w:hAnsi="Times New Roman" w:cs="Times New Roman"/>
          <w:i/>
          <w:iCs/>
          <w:sz w:val="24"/>
          <w:szCs w:val="24"/>
        </w:rPr>
        <w:t>Информация за отпуснатите от емитента или от негово дъщерно дружество заеми, предоставяне на гаранции или поемане на задължения общо към едно лице или негово дъщерно дружество, в т. ч. и на свързани лица с посочване на характера на взаимоотношенията между емитента и лицето, размера на неизплатената главница, лихвен процент, краен срок на погасяване, размер на поето задължение, условия и срок.</w:t>
      </w:r>
    </w:p>
    <w:p w:rsidR="00FE1407" w:rsidRPr="00C458D8" w:rsidRDefault="00FE1407" w:rsidP="00EA5A6D">
      <w:pPr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6C2B99" w:rsidRDefault="00FE1407" w:rsidP="00C458D8">
      <w:pPr>
        <w:pStyle w:val="ae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B99">
        <w:rPr>
          <w:rFonts w:ascii="Times New Roman" w:hAnsi="Times New Roman" w:cs="Times New Roman"/>
          <w:sz w:val="24"/>
          <w:szCs w:val="24"/>
        </w:rPr>
        <w:t xml:space="preserve">Информация за сделки, водени извънбалансово-характер и бизнес цел, посочване финансовото въздействие на сделките върху дейността, ако рискът и ползите от тези сделки са съществени за емитента и ако разкриването на тази информация е съществено за оценката на финансовото състояние на емитента. </w:t>
      </w:r>
    </w:p>
    <w:p w:rsidR="00FE1407" w:rsidRPr="006C2B99" w:rsidRDefault="00FE1407" w:rsidP="006C2B99">
      <w:pPr>
        <w:pStyle w:val="ae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C2B99">
        <w:rPr>
          <w:rFonts w:ascii="Times New Roman" w:hAnsi="Times New Roman" w:cs="Times New Roman"/>
          <w:sz w:val="24"/>
          <w:szCs w:val="24"/>
        </w:rPr>
        <w:t>Няма.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Вътрешна информация относно обстоятелствата, настъпили през</w:t>
      </w:r>
    </w:p>
    <w:p w:rsidR="00FE1407" w:rsidRPr="00C458D8" w:rsidRDefault="0096189E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 тримесечие на </w:t>
      </w:r>
      <w:r w:rsidR="00FE1407" w:rsidRPr="00C458D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5D8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14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E1407" w:rsidRPr="00C458D8">
        <w:rPr>
          <w:rFonts w:ascii="Times New Roman" w:hAnsi="Times New Roman" w:cs="Times New Roman"/>
          <w:b/>
          <w:bCs/>
          <w:sz w:val="24"/>
          <w:szCs w:val="24"/>
        </w:rPr>
        <w:t>година на основание</w:t>
      </w:r>
    </w:p>
    <w:p w:rsidR="00FE1407" w:rsidRPr="00C458D8" w:rsidRDefault="00FE1407" w:rsidP="00EA5A6D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чл. 33, ал. 1, т.4, чл. 33а¹, т. 3 от Наредба № 2 на КФН вр.</w:t>
      </w:r>
    </w:p>
    <w:p w:rsidR="00FE1407" w:rsidRPr="00C458D8" w:rsidRDefault="00FE1407" w:rsidP="00EA5A6D">
      <w:pPr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Приложение № 9 от същата Наредба</w:t>
      </w: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Промяна на лицата, упражняващи контрол върху дружеството –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няма промени.</w:t>
      </w: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96189E" w:rsidRDefault="0096189E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1065"/>
        <w:rPr>
          <w:rFonts w:ascii="Times New Roman" w:hAnsi="Times New Roman" w:cs="Times New Roman"/>
          <w:sz w:val="24"/>
          <w:szCs w:val="24"/>
          <w:lang w:val="en-US"/>
        </w:rPr>
      </w:pP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FE1407" w:rsidRPr="00C458D8" w:rsidRDefault="00FE1407" w:rsidP="00EA5A6D">
      <w:pPr>
        <w:pStyle w:val="ae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Откриване на производство по несъстоятелност за и всички съществени етапи, свързани с производството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няма промени.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Сключване или изпълнение на </w:t>
      </w:r>
      <w:r w:rsidRPr="00C458D8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съществени сделки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няма промени.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Решение за сключване, прекратяване и разваляне на договор за съвместно предприятие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няма.</w:t>
      </w:r>
    </w:p>
    <w:p w:rsidR="00FE1407" w:rsidRPr="00C458D8" w:rsidRDefault="00FE1407" w:rsidP="00EA5A6D">
      <w:pPr>
        <w:pStyle w:val="a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1407" w:rsidRPr="0039313B" w:rsidRDefault="00FE1407" w:rsidP="006C2B99">
      <w:pPr>
        <w:pStyle w:val="ae"/>
        <w:numPr>
          <w:ilvl w:val="1"/>
          <w:numId w:val="5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  <w:r w:rsidRPr="006C2B99">
        <w:rPr>
          <w:rFonts w:ascii="Times New Roman" w:hAnsi="Times New Roman" w:cs="Times New Roman"/>
          <w:color w:val="000000"/>
          <w:sz w:val="24"/>
          <w:szCs w:val="24"/>
        </w:rPr>
        <w:t xml:space="preserve">Промяна на одиторите на дружеството и причини за промяната – </w:t>
      </w:r>
      <w:r w:rsidR="00915D8A">
        <w:rPr>
          <w:rFonts w:ascii="Times New Roman" w:hAnsi="Times New Roman" w:cs="Times New Roman"/>
          <w:color w:val="000000"/>
          <w:sz w:val="24"/>
          <w:szCs w:val="24"/>
        </w:rPr>
        <w:t>няма</w:t>
      </w:r>
    </w:p>
    <w:p w:rsidR="00FE1407" w:rsidRPr="006C2B99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58D8">
        <w:rPr>
          <w:rFonts w:ascii="Times New Roman" w:hAnsi="Times New Roman" w:cs="Times New Roman"/>
          <w:color w:val="000000"/>
          <w:sz w:val="24"/>
          <w:szCs w:val="24"/>
        </w:rPr>
        <w:t xml:space="preserve">Образуване или прекратяване на съдебно или арбитражно дело, отнасящо се до задължения или вземания на дружеството, с цена на иска най-малко 10 на сто от собствения капитал на дружеството – </w:t>
      </w:r>
      <w:r w:rsidRPr="00C458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няма.</w:t>
      </w:r>
    </w:p>
    <w:p w:rsidR="00FE1407" w:rsidRPr="00C458D8" w:rsidRDefault="00FE1407" w:rsidP="00EA5A6D">
      <w:pPr>
        <w:pStyle w:val="ae"/>
        <w:ind w:left="907"/>
        <w:rPr>
          <w:rFonts w:ascii="Times New Roman" w:hAnsi="Times New Roman" w:cs="Times New Roman"/>
          <w:color w:val="000000"/>
          <w:sz w:val="24"/>
          <w:szCs w:val="24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</w:rPr>
      </w:pPr>
      <w:r w:rsidRPr="00C458D8">
        <w:rPr>
          <w:rFonts w:ascii="Times New Roman" w:hAnsi="Times New Roman" w:cs="Times New Roman"/>
          <w:color w:val="000000"/>
        </w:rPr>
        <w:t>Покупка, продажба или учреден</w:t>
      </w:r>
      <w:r w:rsidR="0004477F">
        <w:rPr>
          <w:rFonts w:ascii="Times New Roman" w:hAnsi="Times New Roman" w:cs="Times New Roman"/>
          <w:color w:val="000000"/>
        </w:rPr>
        <w:t xml:space="preserve"> </w:t>
      </w:r>
      <w:r w:rsidRPr="00C458D8">
        <w:rPr>
          <w:rFonts w:ascii="Times New Roman" w:hAnsi="Times New Roman" w:cs="Times New Roman"/>
          <w:color w:val="000000"/>
        </w:rPr>
        <w:t xml:space="preserve">залог на дялови участия в търговски дружества от емитента или негово дъщерно дружество – </w:t>
      </w:r>
      <w:r w:rsidRPr="00C458D8">
        <w:rPr>
          <w:rFonts w:ascii="Times New Roman" w:hAnsi="Times New Roman" w:cs="Times New Roman"/>
          <w:b/>
          <w:bCs/>
          <w:color w:val="000000"/>
        </w:rPr>
        <w:t>няма.</w:t>
      </w:r>
    </w:p>
    <w:p w:rsidR="00FE1407" w:rsidRPr="00C458D8" w:rsidRDefault="00FE1407" w:rsidP="00C458D8">
      <w:pPr>
        <w:pStyle w:val="ae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pStyle w:val="ae"/>
        <w:ind w:left="907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pStyle w:val="ae"/>
        <w:numPr>
          <w:ilvl w:val="1"/>
          <w:numId w:val="5"/>
        </w:numPr>
        <w:spacing w:after="0" w:line="240" w:lineRule="auto"/>
        <w:ind w:left="907"/>
        <w:jc w:val="both"/>
        <w:rPr>
          <w:rFonts w:ascii="Times New Roman" w:hAnsi="Times New Roman" w:cs="Times New Roman"/>
          <w:color w:val="000000"/>
        </w:rPr>
      </w:pPr>
      <w:r w:rsidRPr="00C458D8">
        <w:rPr>
          <w:rFonts w:ascii="Times New Roman" w:hAnsi="Times New Roman" w:cs="Times New Roman"/>
          <w:color w:val="000000"/>
        </w:rPr>
        <w:t>Други обстоятелства, които дружеството счита, че биха могли да бъдат от значение за инвеститорите при вземането на решение да придобият, да продадат или да продължат да притежават публично</w:t>
      </w:r>
      <w:r w:rsidR="0096189E">
        <w:rPr>
          <w:rFonts w:ascii="Times New Roman" w:hAnsi="Times New Roman" w:cs="Times New Roman"/>
          <w:color w:val="000000"/>
        </w:rPr>
        <w:t xml:space="preserve"> </w:t>
      </w:r>
      <w:r w:rsidRPr="00C458D8">
        <w:rPr>
          <w:rFonts w:ascii="Times New Roman" w:hAnsi="Times New Roman" w:cs="Times New Roman"/>
          <w:color w:val="000000"/>
        </w:rPr>
        <w:t>предлагани ценни книжа.</w:t>
      </w:r>
    </w:p>
    <w:p w:rsidR="00FE1407" w:rsidRPr="00C458D8" w:rsidRDefault="00FE1407" w:rsidP="00EA5A6D">
      <w:pPr>
        <w:ind w:left="568"/>
        <w:jc w:val="both"/>
        <w:rPr>
          <w:rFonts w:ascii="Times New Roman" w:hAnsi="Times New Roman" w:cs="Times New Roman"/>
          <w:color w:val="000000"/>
        </w:rPr>
      </w:pPr>
    </w:p>
    <w:p w:rsidR="00FE1407" w:rsidRPr="00C458D8" w:rsidRDefault="00FE1407" w:rsidP="00EA5A6D">
      <w:pPr>
        <w:ind w:left="568"/>
        <w:jc w:val="both"/>
        <w:rPr>
          <w:rFonts w:ascii="Times New Roman" w:hAnsi="Times New Roman" w:cs="Times New Roman"/>
          <w:b/>
          <w:bCs/>
          <w:color w:val="000000"/>
        </w:rPr>
      </w:pPr>
      <w:r w:rsidRPr="00C458D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458D8">
        <w:rPr>
          <w:rFonts w:ascii="Times New Roman" w:hAnsi="Times New Roman" w:cs="Times New Roman"/>
          <w:b/>
          <w:bCs/>
        </w:rPr>
        <w:t>„Водоснабдяване и Канализация“ ООД гр. Силистра няма сключен договор за опо</w:t>
      </w:r>
      <w:r w:rsidR="0096189E">
        <w:rPr>
          <w:rFonts w:ascii="Times New Roman" w:hAnsi="Times New Roman" w:cs="Times New Roman"/>
          <w:b/>
          <w:bCs/>
        </w:rPr>
        <w:t>в</w:t>
      </w:r>
      <w:r w:rsidRPr="00C458D8">
        <w:rPr>
          <w:rFonts w:ascii="Times New Roman" w:hAnsi="Times New Roman" w:cs="Times New Roman"/>
          <w:b/>
          <w:bCs/>
        </w:rPr>
        <w:t>естяване на информацията по реда на ЗППЦК до обществеността.</w:t>
      </w:r>
    </w:p>
    <w:p w:rsidR="00FE1407" w:rsidRPr="00C458D8" w:rsidRDefault="00FE1407" w:rsidP="00EA5A6D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8D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ътрешна информация по </w:t>
      </w:r>
      <w:hyperlink r:id="rId8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чл. 7 от Регламент (ЕС) № 596/2014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на Европейския парламент и на Съвета от 16 април 2014 г. относно пазарната злоупотреба (Регламент относно пазарната злоупотреба) и за отмяна на </w:t>
      </w:r>
      <w:hyperlink r:id="rId9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Директива 2003/6/ЕО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на Европейския парламент и на Съвета и </w:t>
      </w:r>
      <w:hyperlink r:id="rId10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директиви 2003/124/ЕО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hyperlink r:id="rId11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2003/125/ЕО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hyperlink r:id="rId12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2004/72/ЕО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на Комисията (ОВ L 173/1 от 12.06.2014 г.) (</w:t>
      </w:r>
      <w:hyperlink r:id="rId13" w:history="1">
        <w:r w:rsidRPr="00C458D8">
          <w:rPr>
            <w:rFonts w:ascii="Times New Roman" w:hAnsi="Times New Roman" w:cs="Times New Roman"/>
            <w:b/>
            <w:bCs/>
            <w:color w:val="000000"/>
            <w:sz w:val="24"/>
            <w:szCs w:val="24"/>
            <w:lang w:val="en-US"/>
          </w:rPr>
          <w:t>Регламент № 596/2014</w:t>
        </w:r>
      </w:hyperlink>
      <w:r w:rsidRPr="00C458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относно обстоятелствата, настъпили през 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E37E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58D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E1407" w:rsidRPr="00C458D8" w:rsidRDefault="00FE1407" w:rsidP="00EA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 xml:space="preserve">През </w:t>
      </w:r>
      <w:r w:rsidR="0096189E">
        <w:rPr>
          <w:rFonts w:ascii="Times New Roman" w:hAnsi="Times New Roman" w:cs="Times New Roman"/>
          <w:sz w:val="24"/>
          <w:szCs w:val="24"/>
        </w:rPr>
        <w:t>второто</w:t>
      </w:r>
      <w:r w:rsidR="00AA4DDF">
        <w:rPr>
          <w:rFonts w:ascii="Times New Roman" w:hAnsi="Times New Roman" w:cs="Times New Roman"/>
          <w:sz w:val="24"/>
          <w:szCs w:val="24"/>
        </w:rPr>
        <w:t xml:space="preserve"> тримесечие на </w:t>
      </w:r>
      <w:r w:rsidRPr="00C458D8">
        <w:rPr>
          <w:rFonts w:ascii="Times New Roman" w:hAnsi="Times New Roman" w:cs="Times New Roman"/>
          <w:sz w:val="24"/>
          <w:szCs w:val="24"/>
        </w:rPr>
        <w:t>20</w:t>
      </w:r>
      <w:r w:rsidR="00AA4DDF">
        <w:rPr>
          <w:rFonts w:ascii="Times New Roman" w:hAnsi="Times New Roman" w:cs="Times New Roman"/>
          <w:sz w:val="24"/>
          <w:szCs w:val="24"/>
        </w:rPr>
        <w:t>20</w:t>
      </w:r>
      <w:r w:rsidRPr="00C458D8">
        <w:rPr>
          <w:rFonts w:ascii="Times New Roman" w:hAnsi="Times New Roman" w:cs="Times New Roman"/>
          <w:sz w:val="24"/>
          <w:szCs w:val="24"/>
        </w:rPr>
        <w:t xml:space="preserve"> г. не са настъпили обстоятелства, които не са публично оповестени от Дружеството и могат да се считат за вътрешна информация.</w:t>
      </w: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AA4DDF" w:rsidRPr="00AA4DDF" w:rsidRDefault="00AA4DDF" w:rsidP="00EA5A6D">
      <w:pPr>
        <w:pStyle w:val="ae"/>
        <w:ind w:left="0"/>
        <w:rPr>
          <w:rFonts w:ascii="Times New Roman" w:hAnsi="Times New Roman" w:cs="Times New Roman"/>
          <w:sz w:val="24"/>
          <w:szCs w:val="24"/>
        </w:rPr>
      </w:pPr>
    </w:p>
    <w:p w:rsidR="00FE1407" w:rsidRDefault="00FE1407" w:rsidP="00EA5A6D">
      <w:pPr>
        <w:pStyle w:val="ae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lastRenderedPageBreak/>
        <w:t>ДОКЛАД ЗА ДЕЙНОСТТА</w:t>
      </w:r>
    </w:p>
    <w:p w:rsidR="0096189E" w:rsidRDefault="0096189E" w:rsidP="0096189E">
      <w:pPr>
        <w:pStyle w:val="a3"/>
        <w:jc w:val="center"/>
        <w:rPr>
          <w:rFonts w:cs="Times New Roman"/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>НА „ВИК”ООД СИЛИСТРА</w:t>
      </w:r>
    </w:p>
    <w:p w:rsidR="0096189E" w:rsidRPr="00F00C94" w:rsidRDefault="0096189E" w:rsidP="0096189E">
      <w:pPr>
        <w:pStyle w:val="a3"/>
        <w:jc w:val="center"/>
        <w:rPr>
          <w:b/>
          <w:bCs/>
          <w:sz w:val="14"/>
          <w:szCs w:val="14"/>
        </w:rPr>
      </w:pPr>
      <w:r w:rsidRPr="00F00C94">
        <w:rPr>
          <w:b/>
          <w:bCs/>
          <w:sz w:val="14"/>
          <w:szCs w:val="14"/>
        </w:rPr>
        <w:t xml:space="preserve"> ЗА</w:t>
      </w:r>
      <w:r>
        <w:rPr>
          <w:b/>
          <w:bCs/>
          <w:sz w:val="14"/>
          <w:szCs w:val="14"/>
        </w:rPr>
        <w:t xml:space="preserve"> </w:t>
      </w:r>
      <w:r w:rsidRPr="00F00C94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  <w:lang w:val="en-US"/>
        </w:rPr>
        <w:t>II-</w:t>
      </w:r>
      <w:r>
        <w:rPr>
          <w:b/>
          <w:bCs/>
          <w:sz w:val="14"/>
          <w:szCs w:val="14"/>
        </w:rPr>
        <w:t xml:space="preserve">РО ТРИМЕСЕЧИЕ </w:t>
      </w:r>
      <w:r w:rsidRPr="00F00C94">
        <w:rPr>
          <w:b/>
          <w:bCs/>
          <w:sz w:val="14"/>
          <w:szCs w:val="14"/>
        </w:rPr>
        <w:t>20</w:t>
      </w:r>
      <w:r>
        <w:rPr>
          <w:b/>
          <w:bCs/>
          <w:sz w:val="14"/>
          <w:szCs w:val="14"/>
        </w:rPr>
        <w:t>20</w:t>
      </w:r>
      <w:r w:rsidRPr="00F00C94">
        <w:rPr>
          <w:b/>
          <w:bCs/>
          <w:sz w:val="14"/>
          <w:szCs w:val="14"/>
        </w:rPr>
        <w:t xml:space="preserve"> Г.</w:t>
      </w:r>
    </w:p>
    <w:p w:rsidR="0096189E" w:rsidRPr="00F00C94" w:rsidRDefault="0096189E" w:rsidP="0096189E">
      <w:pPr>
        <w:pStyle w:val="a3"/>
        <w:jc w:val="center"/>
        <w:rPr>
          <w:rFonts w:cs="Times New Roman"/>
          <w:b/>
          <w:bCs/>
          <w:u w:val="single"/>
        </w:rPr>
      </w:pPr>
      <w:r w:rsidRPr="00F00C94">
        <w:rPr>
          <w:b/>
          <w:bCs/>
          <w:sz w:val="14"/>
          <w:szCs w:val="14"/>
          <w:u w:val="single"/>
        </w:rPr>
        <w:t>/продължение/</w:t>
      </w:r>
    </w:p>
    <w:p w:rsidR="0096189E" w:rsidRDefault="0096189E" w:rsidP="00EA5A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458D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ДЕКЛАРАЦИЯ ПО ЧЛ. 100о, ал. 4, т.3 от ЗППЦК</w:t>
      </w: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Долуподписаният инж. Васил Ников Боранов в качеството си на Управител на „Водоснабдяване и Канализация“ ООД гр. Силистра</w:t>
      </w:r>
    </w:p>
    <w:p w:rsidR="00FE1407" w:rsidRPr="00C458D8" w:rsidRDefault="00FE1407" w:rsidP="00EA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ДЕКЛАРИРАМ</w:t>
      </w:r>
    </w:p>
    <w:p w:rsidR="00FE1407" w:rsidRPr="00C458D8" w:rsidRDefault="00FE1407" w:rsidP="00EA5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че доколкото ми е известно:</w:t>
      </w:r>
    </w:p>
    <w:p w:rsidR="00FE1407" w:rsidRPr="00C458D8" w:rsidRDefault="00FE1407" w:rsidP="00EA5A6D">
      <w:pPr>
        <w:rPr>
          <w:rFonts w:ascii="Times New Roman" w:hAnsi="Times New Roman" w:cs="Times New Roman"/>
          <w:sz w:val="24"/>
          <w:szCs w:val="24"/>
        </w:rPr>
      </w:pPr>
    </w:p>
    <w:p w:rsidR="00FE1407" w:rsidRPr="00C458D8" w:rsidRDefault="00FE1407" w:rsidP="00EA5A6D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8D8">
        <w:rPr>
          <w:rFonts w:ascii="Times New Roman" w:hAnsi="Times New Roman" w:cs="Times New Roman"/>
          <w:sz w:val="24"/>
          <w:szCs w:val="24"/>
        </w:rPr>
        <w:t>Комплектът финансови отчети към 3</w:t>
      </w:r>
      <w:r w:rsidR="0096189E">
        <w:rPr>
          <w:rFonts w:ascii="Times New Roman" w:hAnsi="Times New Roman" w:cs="Times New Roman"/>
          <w:sz w:val="24"/>
          <w:szCs w:val="24"/>
        </w:rPr>
        <w:t>0</w:t>
      </w:r>
      <w:r w:rsidRPr="00C458D8">
        <w:rPr>
          <w:rFonts w:ascii="Times New Roman" w:hAnsi="Times New Roman" w:cs="Times New Roman"/>
          <w:sz w:val="24"/>
          <w:szCs w:val="24"/>
        </w:rPr>
        <w:t>.</w:t>
      </w:r>
      <w:r w:rsidR="00AA4DDF">
        <w:rPr>
          <w:rFonts w:ascii="Times New Roman" w:hAnsi="Times New Roman" w:cs="Times New Roman"/>
          <w:sz w:val="24"/>
          <w:szCs w:val="24"/>
        </w:rPr>
        <w:t>0</w:t>
      </w:r>
      <w:r w:rsidR="0096189E">
        <w:rPr>
          <w:rFonts w:ascii="Times New Roman" w:hAnsi="Times New Roman" w:cs="Times New Roman"/>
          <w:sz w:val="24"/>
          <w:szCs w:val="24"/>
        </w:rPr>
        <w:t>6</w:t>
      </w:r>
      <w:r w:rsidRPr="00C458D8">
        <w:rPr>
          <w:rFonts w:ascii="Times New Roman" w:hAnsi="Times New Roman" w:cs="Times New Roman"/>
          <w:sz w:val="24"/>
          <w:szCs w:val="24"/>
        </w:rPr>
        <w:t>.20</w:t>
      </w:r>
      <w:r w:rsidR="00AA4DDF">
        <w:rPr>
          <w:rFonts w:ascii="Times New Roman" w:hAnsi="Times New Roman" w:cs="Times New Roman"/>
          <w:sz w:val="24"/>
          <w:szCs w:val="24"/>
        </w:rPr>
        <w:t>20</w:t>
      </w:r>
      <w:r w:rsidRPr="00C458D8">
        <w:rPr>
          <w:rFonts w:ascii="Times New Roman" w:hAnsi="Times New Roman" w:cs="Times New Roman"/>
          <w:sz w:val="24"/>
          <w:szCs w:val="24"/>
        </w:rPr>
        <w:t xml:space="preserve"> г., съставени съгласно приложимите счетоводни стандарти, отразяват вярно и честно информацията за активите, пасивите, финансовото състояние и печалбата на „Водоснабдяване и Канализация“ ООД гр. Силистра.</w:t>
      </w: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Pr="001844A6" w:rsidRDefault="00FE1407" w:rsidP="00B95CF9">
      <w:pPr>
        <w:pStyle w:val="a3"/>
        <w:jc w:val="both"/>
        <w:rPr>
          <w:rFonts w:cs="Times New Roman"/>
          <w:lang w:val="en-US"/>
        </w:rPr>
      </w:pPr>
    </w:p>
    <w:p w:rsidR="00FE1407" w:rsidRPr="00C458D8" w:rsidRDefault="00FE1407" w:rsidP="00B8068B">
      <w:pPr>
        <w:pStyle w:val="a3"/>
        <w:rPr>
          <w:rFonts w:cs="Times New Roman"/>
        </w:rPr>
      </w:pPr>
    </w:p>
    <w:p w:rsidR="00FE1407" w:rsidRPr="00C458D8" w:rsidRDefault="00F51755" w:rsidP="00B8068B">
      <w:pPr>
        <w:pStyle w:val="a3"/>
      </w:pPr>
      <w:r>
        <w:t>2</w:t>
      </w:r>
      <w:r w:rsidR="000D2C3B">
        <w:t>2</w:t>
      </w:r>
      <w:r>
        <w:t>,0</w:t>
      </w:r>
      <w:r w:rsidR="0096189E">
        <w:t>7</w:t>
      </w:r>
      <w:r w:rsidR="00FE1407">
        <w:rPr>
          <w:lang w:val="en-US"/>
        </w:rPr>
        <w:t>.</w:t>
      </w:r>
      <w:r w:rsidR="00FE1407" w:rsidRPr="00C458D8">
        <w:t xml:space="preserve"> 20</w:t>
      </w:r>
      <w:r w:rsidR="00AA4DDF">
        <w:t>20</w:t>
      </w:r>
      <w:r w:rsidR="00FE1407" w:rsidRPr="00C458D8">
        <w:t xml:space="preserve"> г.                                                  УПРАВИТЕЛ:...................................</w:t>
      </w:r>
    </w:p>
    <w:p w:rsidR="00FE1407" w:rsidRPr="0037139B" w:rsidRDefault="00FE1407" w:rsidP="00B8068B">
      <w:pPr>
        <w:pStyle w:val="a3"/>
        <w:rPr>
          <w:rFonts w:cs="Times New Roman"/>
        </w:rPr>
      </w:pPr>
      <w:r w:rsidRPr="00C458D8">
        <w:t xml:space="preserve"> гр . Силистра                                                                       / инж.В. Боранов/</w:t>
      </w:r>
      <w:r w:rsidRPr="0037139B">
        <w:t xml:space="preserve">                                      </w:t>
      </w:r>
      <w:r w:rsidRPr="0037139B">
        <w:rPr>
          <w:lang w:val="en-US"/>
        </w:rPr>
        <w:t xml:space="preserve">   </w:t>
      </w:r>
    </w:p>
    <w:p w:rsidR="00FE1407" w:rsidRDefault="00FE1407"/>
    <w:sectPr w:rsidR="00FE1407" w:rsidSect="00760702">
      <w:footerReference w:type="default" r:id="rId14"/>
      <w:pgSz w:w="11906" w:h="16838"/>
      <w:pgMar w:top="540" w:right="1417" w:bottom="54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07" w:rsidRDefault="00FE1407" w:rsidP="00884E33">
      <w:pPr>
        <w:spacing w:after="0" w:line="240" w:lineRule="auto"/>
      </w:pPr>
      <w:r>
        <w:separator/>
      </w:r>
    </w:p>
  </w:endnote>
  <w:endnote w:type="continuationSeparator" w:id="0">
    <w:p w:rsidR="00FE1407" w:rsidRDefault="00FE1407" w:rsidP="0088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07" w:rsidRDefault="00580C52">
    <w:pPr>
      <w:pStyle w:val="aa"/>
      <w:jc w:val="right"/>
    </w:pPr>
    <w:r>
      <w:fldChar w:fldCharType="begin"/>
    </w:r>
    <w:r w:rsidR="00E863A0">
      <w:instrText xml:space="preserve"> PAGE   \* MERGEFORMAT </w:instrText>
    </w:r>
    <w:r>
      <w:fldChar w:fldCharType="separate"/>
    </w:r>
    <w:r w:rsidR="00D27A54">
      <w:rPr>
        <w:noProof/>
      </w:rPr>
      <w:t>4</w:t>
    </w:r>
    <w:r>
      <w:rPr>
        <w:noProof/>
      </w:rPr>
      <w:fldChar w:fldCharType="end"/>
    </w:r>
  </w:p>
  <w:p w:rsidR="00FE1407" w:rsidRDefault="00FE14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07" w:rsidRDefault="00FE1407" w:rsidP="00884E33">
      <w:pPr>
        <w:spacing w:after="0" w:line="240" w:lineRule="auto"/>
      </w:pPr>
      <w:r>
        <w:separator/>
      </w:r>
    </w:p>
  </w:footnote>
  <w:footnote w:type="continuationSeparator" w:id="0">
    <w:p w:rsidR="00FE1407" w:rsidRDefault="00FE1407" w:rsidP="00884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68A"/>
    <w:multiLevelType w:val="hybridMultilevel"/>
    <w:tmpl w:val="361427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A75C93"/>
    <w:multiLevelType w:val="hybridMultilevel"/>
    <w:tmpl w:val="CF405C7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2E4617"/>
    <w:multiLevelType w:val="hybridMultilevel"/>
    <w:tmpl w:val="3454D0E4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F35EE6"/>
    <w:multiLevelType w:val="hybridMultilevel"/>
    <w:tmpl w:val="E3943648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676A87"/>
    <w:multiLevelType w:val="multilevel"/>
    <w:tmpl w:val="3AC4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7B820AB8"/>
    <w:multiLevelType w:val="hybridMultilevel"/>
    <w:tmpl w:val="CABAD28E"/>
    <w:lvl w:ilvl="0" w:tplc="9FB0B8A2">
      <w:start w:val="2"/>
      <w:numFmt w:val="bullet"/>
      <w:lvlText w:val=""/>
      <w:lvlJc w:val="left"/>
      <w:pPr>
        <w:ind w:left="990" w:hanging="360"/>
      </w:pPr>
      <w:rPr>
        <w:rFonts w:ascii="Marlett" w:eastAsia="Times New Roman" w:hAnsi="Marlett" w:hint="default"/>
      </w:rPr>
    </w:lvl>
    <w:lvl w:ilvl="1" w:tplc="0402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68B"/>
    <w:rsid w:val="00022090"/>
    <w:rsid w:val="0004477F"/>
    <w:rsid w:val="00057E93"/>
    <w:rsid w:val="00061777"/>
    <w:rsid w:val="00065B94"/>
    <w:rsid w:val="00066818"/>
    <w:rsid w:val="00073EB6"/>
    <w:rsid w:val="000B0E12"/>
    <w:rsid w:val="000C60BF"/>
    <w:rsid w:val="000C7CC1"/>
    <w:rsid w:val="000D2C3B"/>
    <w:rsid w:val="000D2DF5"/>
    <w:rsid w:val="000D777F"/>
    <w:rsid w:val="000E67B2"/>
    <w:rsid w:val="00112B72"/>
    <w:rsid w:val="00174C7B"/>
    <w:rsid w:val="001844A6"/>
    <w:rsid w:val="001931BC"/>
    <w:rsid w:val="001C3615"/>
    <w:rsid w:val="001E25AF"/>
    <w:rsid w:val="001F220A"/>
    <w:rsid w:val="002457D3"/>
    <w:rsid w:val="00274FBA"/>
    <w:rsid w:val="00294678"/>
    <w:rsid w:val="002A2CE7"/>
    <w:rsid w:val="002D4127"/>
    <w:rsid w:val="002D71C8"/>
    <w:rsid w:val="002F3A15"/>
    <w:rsid w:val="002F756C"/>
    <w:rsid w:val="003029AA"/>
    <w:rsid w:val="00315188"/>
    <w:rsid w:val="003210CC"/>
    <w:rsid w:val="003238CD"/>
    <w:rsid w:val="00331DFA"/>
    <w:rsid w:val="00332AAA"/>
    <w:rsid w:val="00334EA5"/>
    <w:rsid w:val="003405E9"/>
    <w:rsid w:val="0036718C"/>
    <w:rsid w:val="0037139B"/>
    <w:rsid w:val="00372D8E"/>
    <w:rsid w:val="003764DD"/>
    <w:rsid w:val="00376822"/>
    <w:rsid w:val="003821BF"/>
    <w:rsid w:val="0039313B"/>
    <w:rsid w:val="003B2A0E"/>
    <w:rsid w:val="003C4B2D"/>
    <w:rsid w:val="003D074D"/>
    <w:rsid w:val="003E0D74"/>
    <w:rsid w:val="003F26BB"/>
    <w:rsid w:val="003F5AF1"/>
    <w:rsid w:val="004332D9"/>
    <w:rsid w:val="0044457A"/>
    <w:rsid w:val="00487B16"/>
    <w:rsid w:val="004A4125"/>
    <w:rsid w:val="004A690B"/>
    <w:rsid w:val="004B3517"/>
    <w:rsid w:val="004B6BE2"/>
    <w:rsid w:val="004C5511"/>
    <w:rsid w:val="004D0F7C"/>
    <w:rsid w:val="004E406C"/>
    <w:rsid w:val="004F35AF"/>
    <w:rsid w:val="004F6E00"/>
    <w:rsid w:val="005136ED"/>
    <w:rsid w:val="005754CC"/>
    <w:rsid w:val="00580C52"/>
    <w:rsid w:val="0059657F"/>
    <w:rsid w:val="005A14F4"/>
    <w:rsid w:val="005A4DB1"/>
    <w:rsid w:val="005B0EBC"/>
    <w:rsid w:val="005B28A9"/>
    <w:rsid w:val="005B758E"/>
    <w:rsid w:val="005D7F34"/>
    <w:rsid w:val="005E3F18"/>
    <w:rsid w:val="005F3130"/>
    <w:rsid w:val="00604E84"/>
    <w:rsid w:val="00613527"/>
    <w:rsid w:val="00650496"/>
    <w:rsid w:val="0065393C"/>
    <w:rsid w:val="00663210"/>
    <w:rsid w:val="006A2586"/>
    <w:rsid w:val="006C2B99"/>
    <w:rsid w:val="006E2DDF"/>
    <w:rsid w:val="006E3242"/>
    <w:rsid w:val="006F0D18"/>
    <w:rsid w:val="007002C1"/>
    <w:rsid w:val="00724AE8"/>
    <w:rsid w:val="00733230"/>
    <w:rsid w:val="00746A33"/>
    <w:rsid w:val="00751DF1"/>
    <w:rsid w:val="00752373"/>
    <w:rsid w:val="007563F3"/>
    <w:rsid w:val="00760702"/>
    <w:rsid w:val="0076325F"/>
    <w:rsid w:val="0076461C"/>
    <w:rsid w:val="00791436"/>
    <w:rsid w:val="007A1869"/>
    <w:rsid w:val="007A6C46"/>
    <w:rsid w:val="007B5167"/>
    <w:rsid w:val="007C65DC"/>
    <w:rsid w:val="007D714D"/>
    <w:rsid w:val="007E1206"/>
    <w:rsid w:val="00811F3B"/>
    <w:rsid w:val="0083634C"/>
    <w:rsid w:val="00847F96"/>
    <w:rsid w:val="0085078B"/>
    <w:rsid w:val="008517EC"/>
    <w:rsid w:val="0086184B"/>
    <w:rsid w:val="00863C81"/>
    <w:rsid w:val="00881D1D"/>
    <w:rsid w:val="00884E33"/>
    <w:rsid w:val="00895619"/>
    <w:rsid w:val="00896B04"/>
    <w:rsid w:val="008A13E1"/>
    <w:rsid w:val="008B7970"/>
    <w:rsid w:val="008C584F"/>
    <w:rsid w:val="008E00E2"/>
    <w:rsid w:val="008E54E9"/>
    <w:rsid w:val="008F0DBC"/>
    <w:rsid w:val="008F0DC9"/>
    <w:rsid w:val="008F3F01"/>
    <w:rsid w:val="00907103"/>
    <w:rsid w:val="00915D8A"/>
    <w:rsid w:val="00960C66"/>
    <w:rsid w:val="0096189E"/>
    <w:rsid w:val="009623AD"/>
    <w:rsid w:val="00970A57"/>
    <w:rsid w:val="00983B6F"/>
    <w:rsid w:val="00994D96"/>
    <w:rsid w:val="00994DE9"/>
    <w:rsid w:val="009A5D2B"/>
    <w:rsid w:val="009B37B9"/>
    <w:rsid w:val="009B544B"/>
    <w:rsid w:val="009C3B2A"/>
    <w:rsid w:val="009D2C88"/>
    <w:rsid w:val="009E37ED"/>
    <w:rsid w:val="009F0F77"/>
    <w:rsid w:val="00A66175"/>
    <w:rsid w:val="00A96116"/>
    <w:rsid w:val="00A968E1"/>
    <w:rsid w:val="00AA148F"/>
    <w:rsid w:val="00AA2F3C"/>
    <w:rsid w:val="00AA45DF"/>
    <w:rsid w:val="00AA4DDF"/>
    <w:rsid w:val="00AC692D"/>
    <w:rsid w:val="00AD1645"/>
    <w:rsid w:val="00AD694D"/>
    <w:rsid w:val="00AE5F3F"/>
    <w:rsid w:val="00AF5A52"/>
    <w:rsid w:val="00B06950"/>
    <w:rsid w:val="00B3492F"/>
    <w:rsid w:val="00B36626"/>
    <w:rsid w:val="00B368B8"/>
    <w:rsid w:val="00B67A30"/>
    <w:rsid w:val="00B71575"/>
    <w:rsid w:val="00B715DF"/>
    <w:rsid w:val="00B803EB"/>
    <w:rsid w:val="00B8068B"/>
    <w:rsid w:val="00B93E56"/>
    <w:rsid w:val="00B94DD2"/>
    <w:rsid w:val="00B95CF9"/>
    <w:rsid w:val="00BC01DE"/>
    <w:rsid w:val="00BC32F3"/>
    <w:rsid w:val="00BD1DD3"/>
    <w:rsid w:val="00BD645C"/>
    <w:rsid w:val="00BF7F3D"/>
    <w:rsid w:val="00C04F78"/>
    <w:rsid w:val="00C24F30"/>
    <w:rsid w:val="00C3056B"/>
    <w:rsid w:val="00C37740"/>
    <w:rsid w:val="00C458D8"/>
    <w:rsid w:val="00C5250A"/>
    <w:rsid w:val="00C5693B"/>
    <w:rsid w:val="00C65537"/>
    <w:rsid w:val="00C72C4E"/>
    <w:rsid w:val="00C83D86"/>
    <w:rsid w:val="00C9316B"/>
    <w:rsid w:val="00CB028D"/>
    <w:rsid w:val="00CB28BB"/>
    <w:rsid w:val="00CB41A9"/>
    <w:rsid w:val="00CE5AA1"/>
    <w:rsid w:val="00D0098F"/>
    <w:rsid w:val="00D15702"/>
    <w:rsid w:val="00D23AFF"/>
    <w:rsid w:val="00D27A54"/>
    <w:rsid w:val="00D32EEC"/>
    <w:rsid w:val="00D430A9"/>
    <w:rsid w:val="00D623CD"/>
    <w:rsid w:val="00D62FF8"/>
    <w:rsid w:val="00D67BCD"/>
    <w:rsid w:val="00D721FD"/>
    <w:rsid w:val="00D86577"/>
    <w:rsid w:val="00D8784F"/>
    <w:rsid w:val="00DC575D"/>
    <w:rsid w:val="00E0201A"/>
    <w:rsid w:val="00E34632"/>
    <w:rsid w:val="00E40E5D"/>
    <w:rsid w:val="00E41561"/>
    <w:rsid w:val="00E41C84"/>
    <w:rsid w:val="00E54201"/>
    <w:rsid w:val="00E61269"/>
    <w:rsid w:val="00E63C71"/>
    <w:rsid w:val="00E863A0"/>
    <w:rsid w:val="00E9760F"/>
    <w:rsid w:val="00EA5A6D"/>
    <w:rsid w:val="00EA6E20"/>
    <w:rsid w:val="00EE0F16"/>
    <w:rsid w:val="00F00C94"/>
    <w:rsid w:val="00F24455"/>
    <w:rsid w:val="00F26498"/>
    <w:rsid w:val="00F47423"/>
    <w:rsid w:val="00F51755"/>
    <w:rsid w:val="00F71587"/>
    <w:rsid w:val="00F73CBE"/>
    <w:rsid w:val="00F8518C"/>
    <w:rsid w:val="00F94518"/>
    <w:rsid w:val="00FA7AF9"/>
    <w:rsid w:val="00FD2908"/>
    <w:rsid w:val="00FE1407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F5095"/>
  <w15:docId w15:val="{6246ADDA-FC5B-41D2-A6B8-583D229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7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06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8068B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No Spacing"/>
    <w:uiPriority w:val="99"/>
    <w:qFormat/>
    <w:rsid w:val="00B8068B"/>
    <w:rPr>
      <w:rFonts w:eastAsia="Times New Roman" w:cs="Calibri"/>
    </w:rPr>
  </w:style>
  <w:style w:type="paragraph" w:styleId="a4">
    <w:name w:val="Body Text"/>
    <w:basedOn w:val="a"/>
    <w:link w:val="a5"/>
    <w:uiPriority w:val="99"/>
    <w:semiHidden/>
    <w:rsid w:val="00B806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customStyle="1" w:styleId="a5">
    <w:name w:val="Основен текст Знак"/>
    <w:basedOn w:val="a0"/>
    <w:link w:val="a4"/>
    <w:uiPriority w:val="99"/>
    <w:semiHidden/>
    <w:locked/>
    <w:rsid w:val="00B8068B"/>
    <w:rPr>
      <w:rFonts w:ascii="Times New Roman" w:hAnsi="Times New Roman" w:cs="Times New Roman"/>
      <w:sz w:val="20"/>
      <w:szCs w:val="20"/>
      <w:lang w:eastAsia="bg-BG"/>
    </w:rPr>
  </w:style>
  <w:style w:type="paragraph" w:styleId="a6">
    <w:name w:val="Document Map"/>
    <w:basedOn w:val="a"/>
    <w:link w:val="a7"/>
    <w:uiPriority w:val="99"/>
    <w:semiHidden/>
    <w:rsid w:val="00B67A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AU" w:eastAsia="bg-BG"/>
    </w:rPr>
  </w:style>
  <w:style w:type="character" w:customStyle="1" w:styleId="a7">
    <w:name w:val="План на документа Знак"/>
    <w:basedOn w:val="a0"/>
    <w:link w:val="a6"/>
    <w:uiPriority w:val="99"/>
    <w:semiHidden/>
    <w:locked/>
    <w:rsid w:val="00B67A30"/>
    <w:rPr>
      <w:rFonts w:ascii="Tahoma" w:hAnsi="Tahoma" w:cs="Tahoma"/>
      <w:sz w:val="20"/>
      <w:szCs w:val="20"/>
      <w:shd w:val="clear" w:color="auto" w:fill="000080"/>
      <w:lang w:val="en-AU" w:eastAsia="bg-BG"/>
    </w:rPr>
  </w:style>
  <w:style w:type="paragraph" w:styleId="a8">
    <w:name w:val="header"/>
    <w:basedOn w:val="a"/>
    <w:link w:val="a9"/>
    <w:uiPriority w:val="99"/>
    <w:rsid w:val="0088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884E33"/>
  </w:style>
  <w:style w:type="paragraph" w:styleId="aa">
    <w:name w:val="footer"/>
    <w:basedOn w:val="a"/>
    <w:link w:val="ab"/>
    <w:uiPriority w:val="99"/>
    <w:rsid w:val="00884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locked/>
    <w:rsid w:val="00884E33"/>
  </w:style>
  <w:style w:type="paragraph" w:styleId="ac">
    <w:name w:val="Balloon Text"/>
    <w:basedOn w:val="a"/>
    <w:link w:val="ad"/>
    <w:uiPriority w:val="99"/>
    <w:semiHidden/>
    <w:rsid w:val="0088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884E3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5A6D"/>
    <w:pPr>
      <w:ind w:left="720"/>
    </w:pPr>
  </w:style>
  <w:style w:type="paragraph" w:styleId="af">
    <w:name w:val="Normal (Web)"/>
    <w:basedOn w:val="a"/>
    <w:uiPriority w:val="99"/>
    <w:semiHidden/>
    <w:rsid w:val="00EA5A6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32014R0596&amp;ToPar=Art7&amp;Type=201/" TargetMode="External"/><Relationship Id="rId13" Type="http://schemas.openxmlformats.org/officeDocument/2006/relationships/hyperlink" Target="apis://Base=APEV&amp;CELEX=32014R0596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APEV&amp;CELEX=32004L0072&amp;Type=20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APEV&amp;CELEX=32003L0125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APEV&amp;CELEX=32003L0124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APEV&amp;CELEX=32003L0006&amp;Type=201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E0E34-5FCB-458B-AA8A-BC064BDA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10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ViKSS</Company>
  <LinksUpToDate>false</LinksUpToDate>
  <CharactersWithSpaces>23734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ViK-Silistra</dc:creator>
  <cp:keywords/>
  <dc:description/>
  <cp:lastModifiedBy>User</cp:lastModifiedBy>
  <cp:revision>47</cp:revision>
  <cp:lastPrinted>2020-04-22T08:18:00Z</cp:lastPrinted>
  <dcterms:created xsi:type="dcterms:W3CDTF">2017-03-21T09:59:00Z</dcterms:created>
  <dcterms:modified xsi:type="dcterms:W3CDTF">2020-07-21T13:10:00Z</dcterms:modified>
</cp:coreProperties>
</file>