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6430" w14:textId="77777777" w:rsidR="006D5845" w:rsidRPr="00DB2345" w:rsidRDefault="006D5845" w:rsidP="00891C26">
      <w:pPr>
        <w:pStyle w:val="Title"/>
        <w:spacing w:line="276" w:lineRule="auto"/>
        <w:ind w:firstLine="567"/>
        <w:rPr>
          <w:b/>
          <w:sz w:val="32"/>
        </w:rPr>
      </w:pPr>
    </w:p>
    <w:p w14:paraId="4737438E" w14:textId="77777777" w:rsidR="006D5845" w:rsidRPr="00DB2345" w:rsidRDefault="006D5845" w:rsidP="00891C26">
      <w:pPr>
        <w:pStyle w:val="Title"/>
        <w:spacing w:line="276" w:lineRule="auto"/>
        <w:ind w:firstLine="567"/>
        <w:rPr>
          <w:b/>
          <w:sz w:val="32"/>
        </w:rPr>
      </w:pPr>
    </w:p>
    <w:p w14:paraId="2E276851" w14:textId="77777777" w:rsidR="006D5845" w:rsidRPr="00DB2345" w:rsidRDefault="006D5845" w:rsidP="00891C26">
      <w:pPr>
        <w:pStyle w:val="Title"/>
        <w:spacing w:line="276" w:lineRule="auto"/>
        <w:ind w:firstLine="567"/>
        <w:rPr>
          <w:b/>
          <w:sz w:val="32"/>
        </w:rPr>
      </w:pPr>
    </w:p>
    <w:p w14:paraId="38D9BB13" w14:textId="77777777" w:rsidR="006D5845" w:rsidRPr="00DB2345" w:rsidRDefault="006D5845" w:rsidP="00891C26">
      <w:pPr>
        <w:pStyle w:val="Title"/>
        <w:spacing w:line="276" w:lineRule="auto"/>
        <w:ind w:firstLine="567"/>
        <w:rPr>
          <w:b/>
          <w:sz w:val="32"/>
        </w:rPr>
      </w:pPr>
    </w:p>
    <w:p w14:paraId="13EAA4F7" w14:textId="77777777" w:rsidR="006D5845" w:rsidRPr="00DB2345" w:rsidRDefault="006D5845" w:rsidP="00891C26">
      <w:pPr>
        <w:pStyle w:val="Title"/>
        <w:spacing w:line="276" w:lineRule="auto"/>
        <w:ind w:firstLine="567"/>
        <w:rPr>
          <w:b/>
          <w:sz w:val="32"/>
        </w:rPr>
      </w:pPr>
    </w:p>
    <w:p w14:paraId="2BC76223" w14:textId="77777777" w:rsidR="006D5845" w:rsidRPr="00DB2345" w:rsidRDefault="006D5845" w:rsidP="00891C26">
      <w:pPr>
        <w:pStyle w:val="Title"/>
        <w:pBdr>
          <w:top w:val="double" w:sz="4" w:space="1" w:color="1F497D"/>
        </w:pBdr>
        <w:spacing w:line="276" w:lineRule="auto"/>
        <w:ind w:firstLine="567"/>
        <w:rPr>
          <w:b/>
          <w:sz w:val="32"/>
        </w:rPr>
      </w:pPr>
    </w:p>
    <w:p w14:paraId="1B0C9A5B" w14:textId="77777777" w:rsidR="006D5845" w:rsidRPr="00DB2345" w:rsidRDefault="006D5845" w:rsidP="00891C26">
      <w:pPr>
        <w:pStyle w:val="Title"/>
        <w:pBdr>
          <w:top w:val="double" w:sz="4" w:space="1" w:color="1F497D"/>
        </w:pBdr>
        <w:spacing w:line="276" w:lineRule="auto"/>
        <w:ind w:firstLine="567"/>
        <w:rPr>
          <w:b/>
          <w:sz w:val="32"/>
        </w:rPr>
      </w:pPr>
    </w:p>
    <w:p w14:paraId="4D8A4D08" w14:textId="77777777" w:rsidR="006D5845" w:rsidRDefault="006D5845" w:rsidP="00891C26">
      <w:pPr>
        <w:pStyle w:val="Title"/>
        <w:spacing w:line="276" w:lineRule="auto"/>
        <w:ind w:firstLine="567"/>
        <w:rPr>
          <w:b/>
          <w:sz w:val="32"/>
        </w:rPr>
      </w:pPr>
    </w:p>
    <w:p w14:paraId="4DB9F9AE" w14:textId="77777777" w:rsidR="000C4550" w:rsidRPr="00DB2A35" w:rsidRDefault="007E7782" w:rsidP="00891C26">
      <w:pPr>
        <w:pStyle w:val="Title"/>
        <w:spacing w:after="240" w:line="276" w:lineRule="auto"/>
        <w:rPr>
          <w:b/>
          <w:color w:val="365F91" w:themeColor="accent1" w:themeShade="BF"/>
          <w:sz w:val="40"/>
          <w:szCs w:val="40"/>
        </w:rPr>
      </w:pPr>
      <w:r w:rsidRPr="00DB2A35">
        <w:rPr>
          <w:b/>
          <w:color w:val="365F91" w:themeColor="accent1" w:themeShade="BF"/>
          <w:sz w:val="40"/>
          <w:szCs w:val="40"/>
        </w:rPr>
        <w:t>ГОДИШЕН ДОКЛАД ЗА ДЕЙНОСТТА</w:t>
      </w:r>
    </w:p>
    <w:p w14:paraId="72AC76E1" w14:textId="77777777" w:rsidR="006D5845" w:rsidRPr="00DB2A35" w:rsidRDefault="007E7782" w:rsidP="00891C26">
      <w:pPr>
        <w:pStyle w:val="Title"/>
        <w:spacing w:line="276" w:lineRule="auto"/>
        <w:rPr>
          <w:b/>
          <w:color w:val="365F91" w:themeColor="accent1" w:themeShade="BF"/>
          <w:sz w:val="40"/>
          <w:szCs w:val="40"/>
          <w:lang w:val="en-US"/>
        </w:rPr>
      </w:pPr>
      <w:r w:rsidRPr="00DB2A35">
        <w:rPr>
          <w:b/>
          <w:color w:val="365F91" w:themeColor="accent1" w:themeShade="BF"/>
          <w:sz w:val="40"/>
          <w:szCs w:val="40"/>
        </w:rPr>
        <w:t>31 ДЕКЕМВРИ 201</w:t>
      </w:r>
      <w:r w:rsidR="008C7B05">
        <w:rPr>
          <w:b/>
          <w:color w:val="365F91" w:themeColor="accent1" w:themeShade="BF"/>
          <w:sz w:val="40"/>
          <w:szCs w:val="40"/>
        </w:rPr>
        <w:t>9</w:t>
      </w:r>
    </w:p>
    <w:p w14:paraId="5D597A71" w14:textId="77777777" w:rsidR="006D5845" w:rsidRPr="00C67CA3" w:rsidRDefault="006D5845" w:rsidP="00891C26">
      <w:pPr>
        <w:pStyle w:val="Title"/>
        <w:spacing w:line="276" w:lineRule="auto"/>
        <w:ind w:firstLine="567"/>
        <w:rPr>
          <w:b/>
          <w:color w:val="0070C0"/>
          <w:sz w:val="40"/>
          <w:szCs w:val="40"/>
        </w:rPr>
      </w:pPr>
    </w:p>
    <w:p w14:paraId="4CBB1FAF" w14:textId="77777777" w:rsidR="006D5845" w:rsidRPr="00C67CA3" w:rsidRDefault="006D5845" w:rsidP="00891C26">
      <w:pPr>
        <w:pStyle w:val="Title"/>
        <w:spacing w:line="276" w:lineRule="auto"/>
        <w:ind w:firstLine="567"/>
        <w:rPr>
          <w:b/>
          <w:sz w:val="32"/>
        </w:rPr>
      </w:pPr>
    </w:p>
    <w:p w14:paraId="41BB6639" w14:textId="77777777" w:rsidR="006D5845" w:rsidRPr="00C67CA3" w:rsidRDefault="006D5845" w:rsidP="00891C26">
      <w:pPr>
        <w:pStyle w:val="Title"/>
        <w:spacing w:line="276" w:lineRule="auto"/>
        <w:ind w:firstLine="567"/>
        <w:rPr>
          <w:b/>
          <w:sz w:val="32"/>
        </w:rPr>
      </w:pPr>
    </w:p>
    <w:p w14:paraId="4D4D76E4" w14:textId="77777777" w:rsidR="006D5845" w:rsidRPr="00C67CA3" w:rsidRDefault="006D5845" w:rsidP="00891C26">
      <w:pPr>
        <w:pStyle w:val="Title"/>
        <w:pBdr>
          <w:top w:val="double" w:sz="4" w:space="1" w:color="1F497D"/>
        </w:pBdr>
        <w:spacing w:line="276" w:lineRule="auto"/>
        <w:ind w:firstLine="567"/>
        <w:rPr>
          <w:b/>
          <w:sz w:val="32"/>
        </w:rPr>
      </w:pPr>
    </w:p>
    <w:p w14:paraId="2FD6EF08" w14:textId="77777777" w:rsidR="006D5845" w:rsidRPr="00C67CA3" w:rsidRDefault="006D5845" w:rsidP="00891C26">
      <w:pPr>
        <w:pStyle w:val="Title"/>
        <w:spacing w:line="276" w:lineRule="auto"/>
        <w:ind w:firstLine="567"/>
        <w:rPr>
          <w:b/>
          <w:sz w:val="32"/>
        </w:rPr>
      </w:pPr>
    </w:p>
    <w:p w14:paraId="639CD674" w14:textId="77777777" w:rsidR="006D5845" w:rsidRPr="00C67CA3" w:rsidRDefault="006D5845" w:rsidP="00891C26">
      <w:pPr>
        <w:pStyle w:val="Title"/>
        <w:spacing w:line="276" w:lineRule="auto"/>
        <w:ind w:firstLine="567"/>
        <w:rPr>
          <w:b/>
          <w:sz w:val="32"/>
        </w:rPr>
      </w:pPr>
    </w:p>
    <w:p w14:paraId="12DC0419" w14:textId="77777777" w:rsidR="006D5845" w:rsidRPr="00C67CA3" w:rsidRDefault="006D5845" w:rsidP="00891C26">
      <w:pPr>
        <w:pStyle w:val="Title"/>
        <w:spacing w:line="276" w:lineRule="auto"/>
        <w:ind w:firstLine="567"/>
        <w:rPr>
          <w:b/>
          <w:sz w:val="32"/>
        </w:rPr>
      </w:pPr>
    </w:p>
    <w:p w14:paraId="1D95F266" w14:textId="77777777" w:rsidR="006D5845" w:rsidRPr="00C67CA3" w:rsidRDefault="006D5845" w:rsidP="00891C26">
      <w:pPr>
        <w:pStyle w:val="Title"/>
        <w:spacing w:line="276" w:lineRule="auto"/>
        <w:ind w:firstLine="567"/>
        <w:rPr>
          <w:b/>
          <w:sz w:val="32"/>
        </w:rPr>
      </w:pPr>
    </w:p>
    <w:p w14:paraId="1C80F931" w14:textId="77777777" w:rsidR="005A7D6C" w:rsidRPr="00C67CA3" w:rsidRDefault="005A7D6C" w:rsidP="00891C26">
      <w:pPr>
        <w:pStyle w:val="Title"/>
        <w:spacing w:line="276" w:lineRule="auto"/>
        <w:ind w:firstLine="567"/>
        <w:rPr>
          <w:b/>
          <w:sz w:val="32"/>
        </w:rPr>
      </w:pPr>
    </w:p>
    <w:p w14:paraId="1AE480E1" w14:textId="77777777" w:rsidR="006D5845" w:rsidRPr="00C67CA3" w:rsidRDefault="006D5845" w:rsidP="00891C26">
      <w:pPr>
        <w:pStyle w:val="Title"/>
        <w:spacing w:line="276" w:lineRule="auto"/>
        <w:ind w:firstLine="567"/>
        <w:rPr>
          <w:b/>
          <w:sz w:val="32"/>
        </w:rPr>
      </w:pPr>
    </w:p>
    <w:p w14:paraId="4B30F46E" w14:textId="77777777" w:rsidR="006D5845" w:rsidRPr="00C67CA3" w:rsidRDefault="006D5845" w:rsidP="00891C26">
      <w:pPr>
        <w:pStyle w:val="Title"/>
        <w:spacing w:line="276" w:lineRule="auto"/>
        <w:ind w:firstLine="567"/>
        <w:rPr>
          <w:b/>
          <w:sz w:val="32"/>
        </w:rPr>
      </w:pPr>
    </w:p>
    <w:p w14:paraId="301DFEBF" w14:textId="77777777" w:rsidR="006D5845" w:rsidRPr="00F728C3" w:rsidRDefault="006D5845" w:rsidP="00891C26">
      <w:pPr>
        <w:pStyle w:val="Title"/>
        <w:spacing w:line="276" w:lineRule="auto"/>
        <w:ind w:firstLine="567"/>
        <w:rPr>
          <w:b/>
          <w:sz w:val="32"/>
        </w:rPr>
      </w:pPr>
    </w:p>
    <w:p w14:paraId="09C2B69D" w14:textId="77777777" w:rsidR="006D5845" w:rsidRPr="00C67CA3" w:rsidRDefault="006D5845" w:rsidP="00891C26">
      <w:pPr>
        <w:pStyle w:val="Title"/>
        <w:spacing w:line="276" w:lineRule="auto"/>
        <w:ind w:firstLine="567"/>
        <w:rPr>
          <w:b/>
          <w:sz w:val="32"/>
        </w:rPr>
      </w:pPr>
    </w:p>
    <w:p w14:paraId="0DE4549E" w14:textId="77777777" w:rsidR="005A7D6C" w:rsidRPr="00C67CA3" w:rsidRDefault="005A7D6C" w:rsidP="00891C26">
      <w:pPr>
        <w:pStyle w:val="Title"/>
        <w:spacing w:line="276" w:lineRule="auto"/>
        <w:ind w:firstLine="567"/>
        <w:rPr>
          <w:b/>
          <w:sz w:val="32"/>
        </w:rPr>
      </w:pPr>
    </w:p>
    <w:p w14:paraId="0B8EF1FD" w14:textId="77777777" w:rsidR="006D5845" w:rsidRPr="00C67CA3" w:rsidRDefault="006D5845" w:rsidP="00891C26">
      <w:pPr>
        <w:pStyle w:val="Title"/>
        <w:spacing w:line="276" w:lineRule="auto"/>
        <w:ind w:firstLine="567"/>
        <w:rPr>
          <w:b/>
          <w:sz w:val="32"/>
        </w:rPr>
      </w:pPr>
    </w:p>
    <w:p w14:paraId="05E6406B" w14:textId="77777777" w:rsidR="006D5845" w:rsidRPr="00C67CA3" w:rsidRDefault="006D5845" w:rsidP="00891C26">
      <w:pPr>
        <w:pStyle w:val="Title"/>
        <w:spacing w:line="276" w:lineRule="auto"/>
        <w:ind w:firstLine="567"/>
        <w:rPr>
          <w:b/>
          <w:sz w:val="32"/>
        </w:rPr>
      </w:pPr>
    </w:p>
    <w:p w14:paraId="6D42039D" w14:textId="77777777" w:rsidR="006D5845" w:rsidRPr="00C67CA3" w:rsidRDefault="006D5845" w:rsidP="00891C26">
      <w:pPr>
        <w:pStyle w:val="Title"/>
        <w:spacing w:line="276" w:lineRule="auto"/>
        <w:ind w:firstLine="567"/>
        <w:rPr>
          <w:b/>
          <w:sz w:val="32"/>
        </w:rPr>
      </w:pPr>
    </w:p>
    <w:p w14:paraId="18918776" w14:textId="77777777" w:rsidR="006D5845" w:rsidRPr="00C67CA3" w:rsidRDefault="006D5845" w:rsidP="00891C26">
      <w:pPr>
        <w:pStyle w:val="Title"/>
        <w:spacing w:line="276" w:lineRule="auto"/>
        <w:ind w:firstLine="567"/>
        <w:rPr>
          <w:b/>
          <w:sz w:val="32"/>
        </w:rPr>
      </w:pPr>
    </w:p>
    <w:p w14:paraId="22068339" w14:textId="77777777" w:rsidR="002B5C76" w:rsidRPr="00C67CA3" w:rsidRDefault="002B5C76" w:rsidP="00891C26">
      <w:pPr>
        <w:pStyle w:val="Title"/>
        <w:spacing w:line="276" w:lineRule="auto"/>
        <w:ind w:firstLine="567"/>
        <w:rPr>
          <w:b/>
          <w:sz w:val="32"/>
        </w:rPr>
      </w:pPr>
    </w:p>
    <w:p w14:paraId="6EE4F4E0" w14:textId="7DD9621B" w:rsidR="00A01517" w:rsidRPr="00C67CA3" w:rsidRDefault="00CF3C8E" w:rsidP="00891C26">
      <w:pPr>
        <w:spacing w:line="276" w:lineRule="auto"/>
        <w:ind w:firstLine="567"/>
        <w:rPr>
          <w:b/>
          <w:spacing w:val="10"/>
          <w:u w:val="single"/>
        </w:rPr>
      </w:pPr>
      <w:r>
        <w:rPr>
          <w:b/>
          <w:noProof/>
          <w:sz w:val="32"/>
        </w:rPr>
        <mc:AlternateContent>
          <mc:Choice Requires="wps">
            <w:drawing>
              <wp:anchor distT="0" distB="0" distL="114300" distR="114300" simplePos="0" relativeHeight="251658240" behindDoc="0" locked="0" layoutInCell="1" allowOverlap="1" wp14:anchorId="60A0E9CF" wp14:editId="234BBF74">
                <wp:simplePos x="0" y="0"/>
                <wp:positionH relativeFrom="column">
                  <wp:posOffset>1433502</wp:posOffset>
                </wp:positionH>
                <wp:positionV relativeFrom="page">
                  <wp:posOffset>9207063</wp:posOffset>
                </wp:positionV>
                <wp:extent cx="4657725" cy="713718"/>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57725" cy="713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6504F" w14:textId="77777777" w:rsidR="006A7C16" w:rsidRPr="00C92D43" w:rsidRDefault="006A7C16" w:rsidP="00922505">
                            <w:pPr>
                              <w:pStyle w:val="NormalWeb"/>
                              <w:spacing w:before="0" w:after="60"/>
                              <w:rPr>
                                <w:sz w:val="34"/>
                                <w:szCs w:val="34"/>
                              </w:rPr>
                            </w:pPr>
                            <w:r w:rsidRPr="00CF3C8E">
                              <w:rPr>
                                <w:color w:val="0070C0"/>
                                <w:sz w:val="34"/>
                                <w:szCs w:val="34"/>
                                <w14:shadow w14:blurRad="50800" w14:dist="38100" w14:dir="2700000" w14:sx="100000" w14:sy="100000" w14:kx="0" w14:ky="0" w14:algn="tl">
                                  <w14:srgbClr w14:val="000000">
                                    <w14:alpha w14:val="60000"/>
                                  </w14:srgbClr>
                                </w14:shadow>
                              </w:rPr>
                              <w:t>ВОДОСНАБДЯВАНЕ И КАНАЛИЗАЦИЯ ЕАД</w:t>
                            </w:r>
                          </w:p>
                          <w:p w14:paraId="2873DBF7" w14:textId="3DF41916" w:rsidR="006A7C16" w:rsidRDefault="006A7C16" w:rsidP="00C9690E">
                            <w:pPr>
                              <w:pStyle w:val="NormalWeb"/>
                              <w:spacing w:before="0" w:after="0"/>
                              <w:rPr>
                                <w:color w:val="0070C0"/>
                                <w:sz w:val="32"/>
                                <w:szCs w:val="32"/>
                                <w14:shadow w14:blurRad="50800" w14:dist="38100" w14:dir="2700000" w14:sx="100000" w14:sy="100000" w14:kx="0" w14:ky="0" w14:algn="tl">
                                  <w14:srgbClr w14:val="000000">
                                    <w14:alpha w14:val="60000"/>
                                  </w14:srgbClr>
                                </w14:shadow>
                              </w:rPr>
                            </w:pPr>
                            <w:r w:rsidRPr="00CF3C8E">
                              <w:rPr>
                                <w:color w:val="0070C0"/>
                                <w:sz w:val="32"/>
                                <w:szCs w:val="32"/>
                                <w14:shadow w14:blurRad="50800" w14:dist="38100" w14:dir="2700000" w14:sx="100000" w14:sy="100000" w14:kx="0" w14:ky="0" w14:algn="tl">
                                  <w14:srgbClr w14:val="000000">
                                    <w14:alpha w14:val="60000"/>
                                  </w14:srgbClr>
                                </w14:shadow>
                              </w:rPr>
                              <w:t>гр. Бургас</w:t>
                            </w:r>
                          </w:p>
                          <w:p w14:paraId="58733E20" w14:textId="77777777" w:rsidR="006A7C16" w:rsidRPr="00C92D43" w:rsidRDefault="006A7C16" w:rsidP="00C9690E">
                            <w:pPr>
                              <w:pStyle w:val="NormalWeb"/>
                              <w:spacing w:before="0" w:after="0"/>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0E9CF" id="_x0000_t202" coordsize="21600,21600" o:spt="202" path="m,l,21600r21600,l21600,xe">
                <v:stroke joinstyle="miter"/>
                <v:path gradientshapeok="t" o:connecttype="rect"/>
              </v:shapetype>
              <v:shape id="WordArt 2" o:spid="_x0000_s1026" type="#_x0000_t202" style="position:absolute;left:0;text-align:left;margin-left:112.85pt;margin-top:724.95pt;width:366.75pt;height: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" filled="f" stroked="f">
                <o:lock v:ext="edit" shapetype="t"/>
                <v:textbox>
                  <w:txbxContent>
                    <w:p w14:paraId="74F6504F" w14:textId="77777777" w:rsidR="006A7C16" w:rsidRPr="00C92D43" w:rsidRDefault="006A7C16" w:rsidP="00922505">
                      <w:pPr>
                        <w:pStyle w:val="NormalWeb"/>
                        <w:spacing w:before="0" w:after="60"/>
                        <w:rPr>
                          <w:sz w:val="34"/>
                          <w:szCs w:val="34"/>
                        </w:rPr>
                      </w:pPr>
                      <w:r w:rsidRPr="00CF3C8E">
                        <w:rPr>
                          <w:color w:val="0070C0"/>
                          <w:sz w:val="34"/>
                          <w:szCs w:val="34"/>
                          <w14:shadow w14:blurRad="50800" w14:dist="38100" w14:dir="2700000" w14:sx="100000" w14:sy="100000" w14:kx="0" w14:ky="0" w14:algn="tl">
                            <w14:srgbClr w14:val="000000">
                              <w14:alpha w14:val="60000"/>
                            </w14:srgbClr>
                          </w14:shadow>
                        </w:rPr>
                        <w:t>ВОДОСНАБДЯВАНЕ И КАНАЛИЗАЦИЯ ЕАД</w:t>
                      </w:r>
                    </w:p>
                    <w:p w14:paraId="2873DBF7" w14:textId="3DF41916" w:rsidR="006A7C16" w:rsidRDefault="006A7C16" w:rsidP="00C9690E">
                      <w:pPr>
                        <w:pStyle w:val="NormalWeb"/>
                        <w:spacing w:before="0" w:after="0"/>
                        <w:rPr>
                          <w:color w:val="0070C0"/>
                          <w:sz w:val="32"/>
                          <w:szCs w:val="32"/>
                          <w14:shadow w14:blurRad="50800" w14:dist="38100" w14:dir="2700000" w14:sx="100000" w14:sy="100000" w14:kx="0" w14:ky="0" w14:algn="tl">
                            <w14:srgbClr w14:val="000000">
                              <w14:alpha w14:val="60000"/>
                            </w14:srgbClr>
                          </w14:shadow>
                        </w:rPr>
                      </w:pPr>
                      <w:proofErr w:type="spellStart"/>
                      <w:r w:rsidRPr="00CF3C8E">
                        <w:rPr>
                          <w:color w:val="0070C0"/>
                          <w:sz w:val="32"/>
                          <w:szCs w:val="32"/>
                          <w14:shadow w14:blurRad="50800" w14:dist="38100" w14:dir="2700000" w14:sx="100000" w14:sy="100000" w14:kx="0" w14:ky="0" w14:algn="tl">
                            <w14:srgbClr w14:val="000000">
                              <w14:alpha w14:val="60000"/>
                            </w14:srgbClr>
                          </w14:shadow>
                        </w:rPr>
                        <w:t>гр</w:t>
                      </w:r>
                      <w:proofErr w:type="spellEnd"/>
                      <w:r w:rsidRPr="00CF3C8E">
                        <w:rPr>
                          <w:color w:val="0070C0"/>
                          <w:sz w:val="32"/>
                          <w:szCs w:val="32"/>
                          <w14:shadow w14:blurRad="50800" w14:dist="38100" w14:dir="2700000" w14:sx="100000" w14:sy="100000" w14:kx="0" w14:ky="0" w14:algn="tl">
                            <w14:srgbClr w14:val="000000">
                              <w14:alpha w14:val="60000"/>
                            </w14:srgbClr>
                          </w14:shadow>
                        </w:rPr>
                        <w:t xml:space="preserve">. </w:t>
                      </w:r>
                      <w:proofErr w:type="spellStart"/>
                      <w:r w:rsidRPr="00CF3C8E">
                        <w:rPr>
                          <w:color w:val="0070C0"/>
                          <w:sz w:val="32"/>
                          <w:szCs w:val="32"/>
                          <w14:shadow w14:blurRad="50800" w14:dist="38100" w14:dir="2700000" w14:sx="100000" w14:sy="100000" w14:kx="0" w14:ky="0" w14:algn="tl">
                            <w14:srgbClr w14:val="000000">
                              <w14:alpha w14:val="60000"/>
                            </w14:srgbClr>
                          </w14:shadow>
                        </w:rPr>
                        <w:t>Бургас</w:t>
                      </w:r>
                      <w:proofErr w:type="spellEnd"/>
                    </w:p>
                    <w:p w14:paraId="58733E20" w14:textId="77777777" w:rsidR="006A7C16" w:rsidRPr="00C92D43" w:rsidRDefault="006A7C16" w:rsidP="00C9690E">
                      <w:pPr>
                        <w:pStyle w:val="NormalWeb"/>
                        <w:spacing w:before="0" w:after="0"/>
                        <w:rPr>
                          <w:sz w:val="32"/>
                          <w:szCs w:val="32"/>
                        </w:rPr>
                      </w:pPr>
                    </w:p>
                  </w:txbxContent>
                </v:textbox>
                <w10:wrap anchory="page"/>
              </v:shape>
            </w:pict>
          </mc:Fallback>
        </mc:AlternateContent>
      </w:r>
      <w:r w:rsidR="00F52677">
        <w:rPr>
          <w:b/>
          <w:noProof/>
          <w:sz w:val="32"/>
        </w:rPr>
        <w:drawing>
          <wp:anchor distT="0" distB="0" distL="114300" distR="114300" simplePos="0" relativeHeight="251659264" behindDoc="0" locked="0" layoutInCell="1" allowOverlap="1" wp14:anchorId="18369F9D" wp14:editId="029615B8">
            <wp:simplePos x="0" y="0"/>
            <wp:positionH relativeFrom="column">
              <wp:posOffset>119380</wp:posOffset>
            </wp:positionH>
            <wp:positionV relativeFrom="paragraph">
              <wp:posOffset>195580</wp:posOffset>
            </wp:positionV>
            <wp:extent cx="1400175" cy="533400"/>
            <wp:effectExtent l="19050" t="0" r="9525" b="0"/>
            <wp:wrapNone/>
            <wp:docPr id="7" name="Picture 5" descr="vik-burgas-logo-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burgas-logo-symbol.png"/>
                    <pic:cNvPicPr/>
                  </pic:nvPicPr>
                  <pic:blipFill>
                    <a:blip r:embed="rId8" cstate="print"/>
                    <a:stretch>
                      <a:fillRect/>
                    </a:stretch>
                  </pic:blipFill>
                  <pic:spPr>
                    <a:xfrm>
                      <a:off x="0" y="0"/>
                      <a:ext cx="1400175" cy="533400"/>
                    </a:xfrm>
                    <a:prstGeom prst="rect">
                      <a:avLst/>
                    </a:prstGeom>
                  </pic:spPr>
                </pic:pic>
              </a:graphicData>
            </a:graphic>
          </wp:anchor>
        </w:drawing>
      </w:r>
      <w:r w:rsidR="006D5845" w:rsidRPr="00C67CA3">
        <w:rPr>
          <w:b/>
          <w:spacing w:val="10"/>
          <w:sz w:val="22"/>
          <w:szCs w:val="22"/>
          <w:u w:val="single"/>
        </w:rPr>
        <w:br w:type="page"/>
      </w:r>
    </w:p>
    <w:p w14:paraId="6093270A" w14:textId="77777777" w:rsidR="000D2D6C" w:rsidRPr="006F4BA4" w:rsidRDefault="000D2D6C" w:rsidP="00891C26">
      <w:pPr>
        <w:shd w:val="clear" w:color="auto" w:fill="FFFFFF"/>
        <w:spacing w:line="276" w:lineRule="auto"/>
        <w:ind w:right="45"/>
        <w:jc w:val="center"/>
        <w:rPr>
          <w:b/>
          <w:sz w:val="28"/>
          <w:szCs w:val="28"/>
        </w:rPr>
      </w:pPr>
      <w:r w:rsidRPr="006F4BA4">
        <w:rPr>
          <w:b/>
          <w:sz w:val="28"/>
          <w:szCs w:val="28"/>
        </w:rPr>
        <w:lastRenderedPageBreak/>
        <w:t>ГОДИШЕН ДОКЛАД ЗА ДЕЙНОСТТА</w:t>
      </w:r>
    </w:p>
    <w:p w14:paraId="084D999B" w14:textId="77777777" w:rsidR="000D2D6C" w:rsidRPr="006F4BA4" w:rsidRDefault="000D2D6C" w:rsidP="00891C26">
      <w:pPr>
        <w:shd w:val="clear" w:color="auto" w:fill="FFFFFF"/>
        <w:spacing w:line="276" w:lineRule="auto"/>
        <w:ind w:right="45"/>
        <w:jc w:val="center"/>
        <w:rPr>
          <w:b/>
          <w:sz w:val="28"/>
          <w:szCs w:val="28"/>
        </w:rPr>
      </w:pPr>
      <w:r w:rsidRPr="006F4BA4">
        <w:rPr>
          <w:b/>
          <w:sz w:val="28"/>
          <w:szCs w:val="28"/>
        </w:rPr>
        <w:t xml:space="preserve">НА </w:t>
      </w:r>
      <w:r w:rsidR="00595F09" w:rsidRPr="006F4BA4">
        <w:rPr>
          <w:b/>
          <w:sz w:val="28"/>
          <w:szCs w:val="28"/>
        </w:rPr>
        <w:t>„</w:t>
      </w:r>
      <w:r w:rsidRPr="006F4BA4">
        <w:rPr>
          <w:b/>
          <w:sz w:val="28"/>
          <w:szCs w:val="28"/>
        </w:rPr>
        <w:t xml:space="preserve">ВОДОСНАБДЯВАНЕ </w:t>
      </w:r>
      <w:r w:rsidR="001C2475" w:rsidRPr="006F4BA4">
        <w:rPr>
          <w:b/>
          <w:sz w:val="28"/>
          <w:szCs w:val="28"/>
        </w:rPr>
        <w:t>И</w:t>
      </w:r>
      <w:r w:rsidRPr="006F4BA4">
        <w:rPr>
          <w:b/>
          <w:sz w:val="28"/>
          <w:szCs w:val="28"/>
        </w:rPr>
        <w:t xml:space="preserve"> КАНАЛИЗАЦИЯ” ЕАД гр. БУРГАС</w:t>
      </w:r>
    </w:p>
    <w:p w14:paraId="240A8329" w14:textId="77777777" w:rsidR="000D2D6C" w:rsidRPr="006F4BA4" w:rsidRDefault="009F4EFF" w:rsidP="00891C26">
      <w:pPr>
        <w:shd w:val="clear" w:color="auto" w:fill="FFFFFF"/>
        <w:spacing w:line="276" w:lineRule="auto"/>
        <w:ind w:right="45"/>
        <w:jc w:val="center"/>
        <w:rPr>
          <w:b/>
          <w:sz w:val="28"/>
          <w:szCs w:val="28"/>
        </w:rPr>
      </w:pPr>
      <w:r w:rsidRPr="006F4BA4">
        <w:rPr>
          <w:b/>
          <w:sz w:val="28"/>
          <w:szCs w:val="28"/>
        </w:rPr>
        <w:t xml:space="preserve">ЗА </w:t>
      </w:r>
      <w:r w:rsidR="00C3480B" w:rsidRPr="006F4BA4">
        <w:rPr>
          <w:b/>
          <w:sz w:val="28"/>
          <w:szCs w:val="28"/>
        </w:rPr>
        <w:t>201</w:t>
      </w:r>
      <w:r w:rsidR="008C7B05">
        <w:rPr>
          <w:b/>
          <w:sz w:val="28"/>
          <w:szCs w:val="28"/>
        </w:rPr>
        <w:t>9</w:t>
      </w:r>
      <w:r w:rsidR="00C3480B" w:rsidRPr="006F4BA4">
        <w:rPr>
          <w:b/>
          <w:sz w:val="28"/>
          <w:szCs w:val="28"/>
        </w:rPr>
        <w:t xml:space="preserve"> </w:t>
      </w:r>
      <w:r w:rsidR="000D2D6C" w:rsidRPr="006F4BA4">
        <w:rPr>
          <w:b/>
          <w:sz w:val="28"/>
          <w:szCs w:val="28"/>
        </w:rPr>
        <w:t>ГОДИНА</w:t>
      </w:r>
    </w:p>
    <w:p w14:paraId="42568A0C" w14:textId="77777777" w:rsidR="00C3480B" w:rsidRPr="00C67CA3" w:rsidRDefault="00C3480B" w:rsidP="00891C26">
      <w:pPr>
        <w:shd w:val="clear" w:color="auto" w:fill="FFFFFF"/>
        <w:spacing w:line="276" w:lineRule="auto"/>
        <w:ind w:right="45" w:firstLine="567"/>
        <w:jc w:val="center"/>
        <w:rPr>
          <w:b/>
          <w:spacing w:val="10"/>
        </w:rPr>
      </w:pPr>
    </w:p>
    <w:p w14:paraId="0CFAB326" w14:textId="77777777" w:rsidR="006D5EF8" w:rsidRPr="00C67CA3" w:rsidRDefault="006D5EF8" w:rsidP="00891C26">
      <w:pPr>
        <w:shd w:val="clear" w:color="auto" w:fill="FFFFFF"/>
        <w:spacing w:line="276" w:lineRule="auto"/>
        <w:ind w:right="45" w:firstLine="567"/>
        <w:jc w:val="center"/>
        <w:rPr>
          <w:b/>
          <w:spacing w:val="10"/>
        </w:rPr>
      </w:pPr>
    </w:p>
    <w:p w14:paraId="08B7628B" w14:textId="77777777" w:rsidR="00C3480B" w:rsidRPr="006F4BA4" w:rsidRDefault="00677124" w:rsidP="00891C26">
      <w:pPr>
        <w:widowControl/>
        <w:spacing w:line="276" w:lineRule="auto"/>
        <w:jc w:val="center"/>
        <w:rPr>
          <w:b/>
          <w:bCs/>
          <w:lang w:val="en-US"/>
        </w:rPr>
      </w:pPr>
      <w:r w:rsidRPr="006F4BA4">
        <w:rPr>
          <w:b/>
          <w:bCs/>
        </w:rPr>
        <w:t>НАСТОЯЩИЯТ ДОКЛАД ЗА ДЕЙНОСТТА Е ИЗГОТВЕН В СЪОТВЕТСТВИЕ С РАЗПОРЕДБИТЕ НА ЧЛ. 39 ОТ ЗАКОНА ЗА СЧЕТОВОДС</w:t>
      </w:r>
      <w:r w:rsidR="00DB2A35" w:rsidRPr="006F4BA4">
        <w:rPr>
          <w:b/>
          <w:bCs/>
        </w:rPr>
        <w:t>ТВОТО (в сила от 01.01.2016 г.)</w:t>
      </w:r>
      <w:r w:rsidRPr="006F4BA4">
        <w:rPr>
          <w:b/>
          <w:bCs/>
        </w:rPr>
        <w:t xml:space="preserve">, ЧЛ. 100Н, АЛ. 7 ОТ </w:t>
      </w:r>
      <w:r w:rsidR="006F4BA4">
        <w:rPr>
          <w:b/>
          <w:bCs/>
        </w:rPr>
        <w:t>ЗППЦК И ПРИЛОЖЕНИЕ №10, КЪМ ЧЛ.32, АЛ.1, Т.</w:t>
      </w:r>
      <w:r w:rsidRPr="006F4BA4">
        <w:rPr>
          <w:b/>
          <w:bCs/>
        </w:rPr>
        <w:t>2 ОТ НАРЕДБА №2 ОТ 17.09.2003 Г. ЗА ПРОСПЕКТИТЕ ПРИ ПУБЛИЧНО ПРЕДЛАГАНЕ И ДОПУСКАНЕ ДО ТЪРГОВИЯ НА РЕГУЛИРАН ПАЗАР НА ЦЕННИ КНИЖА И ЗА РАЗКРИВАНЕТО НА ИНФОРМАЦИЯ</w:t>
      </w:r>
    </w:p>
    <w:p w14:paraId="7E4C28A3" w14:textId="77777777" w:rsidR="00677124" w:rsidRDefault="00677124" w:rsidP="00891C26">
      <w:pPr>
        <w:shd w:val="clear" w:color="auto" w:fill="FFFFFF"/>
        <w:spacing w:line="276" w:lineRule="auto"/>
        <w:ind w:right="45" w:firstLine="567"/>
        <w:jc w:val="center"/>
        <w:rPr>
          <w:b/>
          <w:spacing w:val="10"/>
        </w:rPr>
      </w:pPr>
    </w:p>
    <w:p w14:paraId="4ABFF39E" w14:textId="77777777" w:rsidR="00004820" w:rsidRPr="00C67CA3" w:rsidRDefault="00004820" w:rsidP="00891C26">
      <w:pPr>
        <w:shd w:val="clear" w:color="auto" w:fill="FFFFFF"/>
        <w:spacing w:line="276" w:lineRule="auto"/>
        <w:ind w:right="45" w:firstLine="567"/>
        <w:jc w:val="center"/>
        <w:rPr>
          <w:b/>
          <w:spacing w:val="10"/>
        </w:rPr>
      </w:pPr>
    </w:p>
    <w:p w14:paraId="40F1DEB9" w14:textId="77777777" w:rsidR="00835A5A" w:rsidRPr="00C67CA3" w:rsidRDefault="007E7782" w:rsidP="00891C26">
      <w:pPr>
        <w:pStyle w:val="BodyText"/>
        <w:numPr>
          <w:ilvl w:val="0"/>
          <w:numId w:val="32"/>
        </w:numPr>
        <w:spacing w:line="276" w:lineRule="auto"/>
        <w:ind w:left="567" w:hanging="207"/>
        <w:jc w:val="both"/>
        <w:rPr>
          <w:b/>
        </w:rPr>
      </w:pPr>
      <w:r w:rsidRPr="00C67CA3">
        <w:rPr>
          <w:b/>
        </w:rPr>
        <w:t>Развитие, резултати от дейността и състоянието на дружеството през 201</w:t>
      </w:r>
      <w:r w:rsidR="00C957E9">
        <w:rPr>
          <w:b/>
          <w:lang w:val="en-US"/>
        </w:rPr>
        <w:t>9</w:t>
      </w:r>
      <w:r w:rsidRPr="00C67CA3">
        <w:rPr>
          <w:b/>
        </w:rPr>
        <w:t xml:space="preserve"> г.</w:t>
      </w:r>
    </w:p>
    <w:p w14:paraId="19FA2F62" w14:textId="77777777" w:rsidR="00835A5A" w:rsidRPr="00004820" w:rsidRDefault="00EC0312" w:rsidP="00891C26">
      <w:pPr>
        <w:pStyle w:val="ListParagraph"/>
        <w:widowControl/>
        <w:numPr>
          <w:ilvl w:val="0"/>
          <w:numId w:val="30"/>
        </w:numPr>
        <w:tabs>
          <w:tab w:val="left" w:pos="851"/>
        </w:tabs>
        <w:autoSpaceDE/>
        <w:autoSpaceDN/>
        <w:adjustRightInd/>
        <w:spacing w:before="240" w:after="240" w:line="276" w:lineRule="auto"/>
        <w:ind w:left="851" w:hanging="284"/>
        <w:jc w:val="both"/>
        <w:rPr>
          <w:b/>
          <w:bCs/>
          <w:spacing w:val="-1"/>
        </w:rPr>
      </w:pPr>
      <w:r w:rsidRPr="00004820">
        <w:rPr>
          <w:b/>
          <w:bCs/>
          <w:spacing w:val="-1"/>
        </w:rPr>
        <w:t xml:space="preserve">Обща </w:t>
      </w:r>
      <w:r w:rsidRPr="00004820">
        <w:rPr>
          <w:b/>
          <w:bCs/>
        </w:rPr>
        <w:t>информация</w:t>
      </w:r>
      <w:r w:rsidRPr="00004820">
        <w:rPr>
          <w:b/>
          <w:bCs/>
          <w:spacing w:val="-1"/>
        </w:rPr>
        <w:t>.</w:t>
      </w:r>
      <w:r w:rsidR="00D458DE" w:rsidRPr="00004820">
        <w:rPr>
          <w:b/>
          <w:bCs/>
          <w:spacing w:val="-1"/>
        </w:rPr>
        <w:t xml:space="preserve"> </w:t>
      </w:r>
      <w:r w:rsidRPr="00004820">
        <w:rPr>
          <w:b/>
          <w:bCs/>
          <w:spacing w:val="-1"/>
        </w:rPr>
        <w:t>Предмет и сфери на дейност.</w:t>
      </w:r>
    </w:p>
    <w:p w14:paraId="2DF883B7" w14:textId="77777777" w:rsidR="00D30097" w:rsidRPr="00C67CA3" w:rsidRDefault="00D30097" w:rsidP="00891C26">
      <w:pPr>
        <w:pStyle w:val="BodyText"/>
        <w:spacing w:after="0" w:line="276" w:lineRule="auto"/>
        <w:ind w:firstLine="851"/>
        <w:jc w:val="both"/>
      </w:pPr>
      <w:r w:rsidRPr="00C67CA3">
        <w:t xml:space="preserve">Пълното наименование по съдебна регистрация на Дружеството </w:t>
      </w:r>
      <w:r w:rsidR="005D2B03" w:rsidRPr="00C67CA3">
        <w:t xml:space="preserve">е </w:t>
      </w:r>
      <w:r w:rsidR="00595F09" w:rsidRPr="00C67CA3">
        <w:t>„</w:t>
      </w:r>
      <w:r w:rsidR="005D2B03" w:rsidRPr="00C67CA3">
        <w:t>Водоснабдяване и канализация</w:t>
      </w:r>
      <w:r w:rsidRPr="00C67CA3">
        <w:t>” ЕАД с</w:t>
      </w:r>
      <w:r w:rsidR="001C2475" w:rsidRPr="00C67CA3">
        <w:t xml:space="preserve">ъс седалище и </w:t>
      </w:r>
      <w:r w:rsidRPr="00C67CA3">
        <w:t>адрес</w:t>
      </w:r>
      <w:r w:rsidR="001C2475" w:rsidRPr="00C67CA3">
        <w:t xml:space="preserve"> на управление</w:t>
      </w:r>
      <w:r w:rsidRPr="00C67CA3">
        <w:t xml:space="preserve"> гр.</w:t>
      </w:r>
      <w:r w:rsidR="005D2B03" w:rsidRPr="00C67CA3">
        <w:t xml:space="preserve"> </w:t>
      </w:r>
      <w:r w:rsidRPr="00C67CA3">
        <w:t>Бургас</w:t>
      </w:r>
      <w:r w:rsidR="005D2B03" w:rsidRPr="00C67CA3">
        <w:t>,</w:t>
      </w:r>
      <w:r w:rsidRPr="00C67CA3">
        <w:t xml:space="preserve"> кв.</w:t>
      </w:r>
      <w:r w:rsidR="005D2B03" w:rsidRPr="00C67CA3">
        <w:t xml:space="preserve"> </w:t>
      </w:r>
      <w:r w:rsidRPr="00C67CA3">
        <w:t>Победа,</w:t>
      </w:r>
      <w:r w:rsidR="005D2B03" w:rsidRPr="00C67CA3">
        <w:t xml:space="preserve"> </w:t>
      </w:r>
      <w:r w:rsidRPr="00C67CA3">
        <w:t>ул.</w:t>
      </w:r>
      <w:r w:rsidR="005D2B03" w:rsidRPr="00C67CA3">
        <w:t xml:space="preserve"> </w:t>
      </w:r>
      <w:r w:rsidR="008B40B6" w:rsidRPr="00C67CA3">
        <w:t>„</w:t>
      </w:r>
      <w:r w:rsidRPr="00C67CA3">
        <w:t>Ге</w:t>
      </w:r>
      <w:r w:rsidR="005D2B03" w:rsidRPr="00C67CA3">
        <w:t xml:space="preserve">нерал </w:t>
      </w:r>
      <w:r w:rsidRPr="00C67CA3">
        <w:t>Вл</w:t>
      </w:r>
      <w:r w:rsidR="005D2B03" w:rsidRPr="00C67CA3">
        <w:t>адимир</w:t>
      </w:r>
      <w:r w:rsidR="0098277A" w:rsidRPr="00C67CA3">
        <w:t xml:space="preserve"> Вазов” №</w:t>
      </w:r>
      <w:r w:rsidRPr="00C67CA3">
        <w:t xml:space="preserve"> 3. Друже</w:t>
      </w:r>
      <w:r w:rsidR="001C2475" w:rsidRPr="00C67CA3">
        <w:t xml:space="preserve">ството се представлява от инж. </w:t>
      </w:r>
      <w:r w:rsidRPr="00C67CA3">
        <w:t>Ганчо Й</w:t>
      </w:r>
      <w:r w:rsidR="001C2475" w:rsidRPr="00C67CA3">
        <w:t>овчев Тенев</w:t>
      </w:r>
      <w:r w:rsidR="00C608B2" w:rsidRPr="00C67CA3">
        <w:t xml:space="preserve"> </w:t>
      </w:r>
      <w:r w:rsidRPr="00C67CA3">
        <w:t xml:space="preserve">– Изпълнителен </w:t>
      </w:r>
      <w:r w:rsidR="001C2475" w:rsidRPr="00C67CA3">
        <w:t>Д</w:t>
      </w:r>
      <w:r w:rsidRPr="00C67CA3">
        <w:t>иректор и е регистрирано</w:t>
      </w:r>
      <w:r w:rsidRPr="00C67CA3">
        <w:rPr>
          <w:b/>
        </w:rPr>
        <w:t xml:space="preserve"> </w:t>
      </w:r>
      <w:r w:rsidRPr="00C67CA3">
        <w:t xml:space="preserve">в Бургаски окръжен съд по фирмено дело № 7184 от 1991 година със седалище Бургас </w:t>
      </w:r>
      <w:r w:rsidR="001C2475" w:rsidRPr="00C67CA3">
        <w:t>(р</w:t>
      </w:r>
      <w:r w:rsidRPr="00C67CA3">
        <w:t>ешен</w:t>
      </w:r>
      <w:r w:rsidR="001C2475" w:rsidRPr="00C67CA3">
        <w:t>ието е обнародвано в ДВ бр. 100/</w:t>
      </w:r>
      <w:r w:rsidRPr="00C67CA3">
        <w:t>1991 г</w:t>
      </w:r>
      <w:r w:rsidR="00C608B2" w:rsidRPr="00C67CA3">
        <w:t>.</w:t>
      </w:r>
      <w:r w:rsidR="001C2475" w:rsidRPr="00C67CA3">
        <w:t>).</w:t>
      </w:r>
      <w:r w:rsidRPr="00C67CA3">
        <w:t xml:space="preserve"> Следват промени по фирменото дело, отразяващи промените в представителството и управлението на капитала на Дружеството.</w:t>
      </w:r>
    </w:p>
    <w:p w14:paraId="31E1D767" w14:textId="77777777" w:rsidR="00D30097" w:rsidRPr="00C67CA3" w:rsidRDefault="00D30097" w:rsidP="00891C26">
      <w:pPr>
        <w:pStyle w:val="BodyText"/>
        <w:spacing w:after="0" w:line="276" w:lineRule="auto"/>
        <w:ind w:firstLine="851"/>
        <w:jc w:val="both"/>
      </w:pPr>
      <w:r w:rsidRPr="00C67CA3">
        <w:t xml:space="preserve">Едноличен собственик на капитала е Министерството на регионалното развитие </w:t>
      </w:r>
      <w:r w:rsidR="00196EEC" w:rsidRPr="00C67CA3">
        <w:t xml:space="preserve">и благоустройството </w:t>
      </w:r>
      <w:r w:rsidRPr="00C67CA3">
        <w:t>на Република България.</w:t>
      </w:r>
    </w:p>
    <w:p w14:paraId="40114EAE" w14:textId="77777777" w:rsidR="00D30097" w:rsidRPr="00C67CA3" w:rsidRDefault="00D30097" w:rsidP="00891C26">
      <w:pPr>
        <w:pStyle w:val="BodyText"/>
        <w:spacing w:after="0" w:line="276" w:lineRule="auto"/>
        <w:ind w:firstLine="851"/>
        <w:jc w:val="both"/>
      </w:pPr>
      <w:r w:rsidRPr="00C67CA3">
        <w:t>Със заповед № РД</w:t>
      </w:r>
      <w:r w:rsidR="001C2475" w:rsidRPr="00C67CA3">
        <w:t>-</w:t>
      </w:r>
      <w:r w:rsidRPr="00C67CA3">
        <w:t>02-14-1094 от 12.06.2000 г. на Министъра на регионалното развитие и благоустройството, Еднолично друж</w:t>
      </w:r>
      <w:r w:rsidR="001C2475" w:rsidRPr="00C67CA3">
        <w:t xml:space="preserve">ество с ограничена отговорност </w:t>
      </w:r>
      <w:r w:rsidRPr="00C67CA3">
        <w:t xml:space="preserve">Бургас е преобразувано в Еднолично акционерно дружество с държавно имущество с наименование </w:t>
      </w:r>
      <w:r w:rsidR="00595F09" w:rsidRPr="00C67CA3">
        <w:t>„</w:t>
      </w:r>
      <w:r w:rsidRPr="00C67CA3">
        <w:t>Водоснабдяване и канализация” ЕАД</w:t>
      </w:r>
      <w:r w:rsidR="00BA04C4" w:rsidRPr="00C67CA3">
        <w:t>,</w:t>
      </w:r>
      <w:r w:rsidRPr="00C67CA3">
        <w:t xml:space="preserve"> гр. Бургас</w:t>
      </w:r>
      <w:r w:rsidR="001C2475" w:rsidRPr="00C67CA3">
        <w:t>.</w:t>
      </w:r>
    </w:p>
    <w:p w14:paraId="73042EE4" w14:textId="77777777" w:rsidR="00D30097" w:rsidRPr="00C67CA3" w:rsidRDefault="00D30097" w:rsidP="00891C26">
      <w:pPr>
        <w:pStyle w:val="BodyText"/>
        <w:spacing w:after="0" w:line="276" w:lineRule="auto"/>
        <w:ind w:firstLine="851"/>
        <w:jc w:val="both"/>
      </w:pPr>
      <w:r w:rsidRPr="00C67CA3">
        <w:t xml:space="preserve">Дружеството е с капитал </w:t>
      </w:r>
      <w:r w:rsidR="00FC5305" w:rsidRPr="00C67CA3">
        <w:t xml:space="preserve">в размер на </w:t>
      </w:r>
      <w:r w:rsidRPr="00C67CA3">
        <w:t>2 227 800 лева, разпределен в 222 780 поименни акции с номинална стойност 10 лева на акция.</w:t>
      </w:r>
    </w:p>
    <w:p w14:paraId="0287DE30" w14:textId="77777777" w:rsidR="00640250" w:rsidRPr="00C67CA3" w:rsidRDefault="00640250" w:rsidP="00891C26">
      <w:pPr>
        <w:pStyle w:val="BodyText"/>
        <w:spacing w:after="0" w:line="276" w:lineRule="auto"/>
        <w:ind w:firstLine="851"/>
        <w:jc w:val="both"/>
        <w:rPr>
          <w:b/>
        </w:rPr>
      </w:pPr>
      <w:r w:rsidRPr="00C67CA3">
        <w:t>На основание Правилник за реда за упражняване правата на държавата в търговските дружества с държавно участие в капитала</w:t>
      </w:r>
      <w:r w:rsidR="001C2475" w:rsidRPr="00C67CA3">
        <w:t xml:space="preserve">, </w:t>
      </w:r>
      <w:r w:rsidRPr="00C67CA3">
        <w:t>чл.7 т. 2</w:t>
      </w:r>
      <w:r w:rsidR="001C2475" w:rsidRPr="00C67CA3">
        <w:t>,</w:t>
      </w:r>
      <w:r w:rsidRPr="00C67CA3">
        <w:t xml:space="preserve"> Органи за управление на еднолични акционерни дружества с държавно участие в капитала са:</w:t>
      </w:r>
    </w:p>
    <w:p w14:paraId="31638692" w14:textId="77777777" w:rsidR="00640250" w:rsidRPr="00C67CA3" w:rsidRDefault="00640250" w:rsidP="00891C26">
      <w:pPr>
        <w:widowControl/>
        <w:numPr>
          <w:ilvl w:val="0"/>
          <w:numId w:val="8"/>
        </w:numPr>
        <w:tabs>
          <w:tab w:val="clear" w:pos="1065"/>
          <w:tab w:val="num" w:pos="1134"/>
        </w:tabs>
        <w:autoSpaceDE/>
        <w:autoSpaceDN/>
        <w:adjustRightInd/>
        <w:spacing w:line="276" w:lineRule="auto"/>
        <w:ind w:left="1134" w:right="-28" w:hanging="283"/>
        <w:jc w:val="both"/>
      </w:pPr>
      <w:r w:rsidRPr="00C67CA3">
        <w:t xml:space="preserve">Едноличният собственик на капитала </w:t>
      </w:r>
    </w:p>
    <w:p w14:paraId="522E4C2F" w14:textId="77777777" w:rsidR="00640250" w:rsidRPr="00C67CA3" w:rsidRDefault="00640250" w:rsidP="00891C26">
      <w:pPr>
        <w:widowControl/>
        <w:numPr>
          <w:ilvl w:val="0"/>
          <w:numId w:val="8"/>
        </w:numPr>
        <w:tabs>
          <w:tab w:val="clear" w:pos="1065"/>
          <w:tab w:val="num" w:pos="1134"/>
        </w:tabs>
        <w:autoSpaceDE/>
        <w:autoSpaceDN/>
        <w:adjustRightInd/>
        <w:spacing w:after="240" w:line="276" w:lineRule="auto"/>
        <w:ind w:left="1134" w:right="-28" w:hanging="283"/>
        <w:jc w:val="both"/>
      </w:pPr>
      <w:r w:rsidRPr="00C67CA3">
        <w:t xml:space="preserve">Съветът на </w:t>
      </w:r>
      <w:r w:rsidR="001C2475" w:rsidRPr="00C67CA3">
        <w:t>Д</w:t>
      </w:r>
      <w:r w:rsidRPr="00C67CA3">
        <w:t>иректорите</w:t>
      </w:r>
    </w:p>
    <w:p w14:paraId="552D79F2" w14:textId="77777777" w:rsidR="00640250" w:rsidRPr="00C67CA3" w:rsidRDefault="00640250" w:rsidP="00891C26">
      <w:pPr>
        <w:pStyle w:val="BodyText"/>
        <w:spacing w:after="0" w:line="276" w:lineRule="auto"/>
        <w:ind w:firstLine="851"/>
        <w:jc w:val="both"/>
        <w:rPr>
          <w:bCs/>
        </w:rPr>
      </w:pPr>
      <w:r w:rsidRPr="00C67CA3">
        <w:t xml:space="preserve">На тази основа Дружество </w:t>
      </w:r>
      <w:r w:rsidR="00595F09" w:rsidRPr="00C67CA3">
        <w:t>„</w:t>
      </w:r>
      <w:r w:rsidRPr="00C67CA3">
        <w:t>Вод</w:t>
      </w:r>
      <w:r w:rsidR="00025AE0">
        <w:t>о</w:t>
      </w:r>
      <w:r w:rsidRPr="00C67CA3">
        <w:t>снабдяване и канализация” ЕАД</w:t>
      </w:r>
      <w:r w:rsidR="00BA04C4" w:rsidRPr="00C67CA3">
        <w:t>,</w:t>
      </w:r>
      <w:r w:rsidRPr="00C67CA3">
        <w:t xml:space="preserve"> гр.</w:t>
      </w:r>
      <w:r w:rsidR="00BA04C4" w:rsidRPr="00C67CA3">
        <w:t xml:space="preserve"> </w:t>
      </w:r>
      <w:r w:rsidRPr="00C67CA3">
        <w:t xml:space="preserve">Бургас се управлява от Съвет на </w:t>
      </w:r>
      <w:r w:rsidR="001C2475" w:rsidRPr="00C67CA3">
        <w:t>Д</w:t>
      </w:r>
      <w:r w:rsidRPr="00C67CA3">
        <w:t xml:space="preserve">иректорите </w:t>
      </w:r>
      <w:r w:rsidRPr="00C67CA3">
        <w:rPr>
          <w:bCs/>
        </w:rPr>
        <w:t>с членове:</w:t>
      </w:r>
    </w:p>
    <w:p w14:paraId="4CAC0EB5" w14:textId="77777777" w:rsidR="00F44E40" w:rsidRPr="00C67CA3" w:rsidRDefault="001C2475" w:rsidP="00891C26">
      <w:pPr>
        <w:pStyle w:val="10"/>
        <w:numPr>
          <w:ilvl w:val="0"/>
          <w:numId w:val="16"/>
        </w:numPr>
        <w:spacing w:line="276" w:lineRule="auto"/>
        <w:ind w:left="1134" w:hanging="283"/>
        <w:jc w:val="both"/>
        <w:rPr>
          <w:rFonts w:ascii="Times New Roman" w:hAnsi="Times New Roman" w:cs="Times New Roman"/>
          <w:bCs/>
          <w:sz w:val="24"/>
        </w:rPr>
      </w:pPr>
      <w:r w:rsidRPr="00C67CA3">
        <w:rPr>
          <w:rFonts w:ascii="Times New Roman" w:hAnsi="Times New Roman" w:cs="Times New Roman"/>
          <w:bCs/>
          <w:sz w:val="24"/>
        </w:rPr>
        <w:t>Йоанис Парменион Партениотис</w:t>
      </w:r>
      <w:r w:rsidR="00C608B2" w:rsidRPr="00C67CA3">
        <w:rPr>
          <w:rFonts w:ascii="Times New Roman" w:hAnsi="Times New Roman" w:cs="Times New Roman"/>
          <w:bCs/>
          <w:sz w:val="24"/>
        </w:rPr>
        <w:t xml:space="preserve"> –</w:t>
      </w:r>
      <w:r w:rsidR="00BA04C4" w:rsidRPr="00C67CA3">
        <w:rPr>
          <w:rFonts w:ascii="Times New Roman" w:hAnsi="Times New Roman" w:cs="Times New Roman"/>
          <w:bCs/>
          <w:sz w:val="24"/>
        </w:rPr>
        <w:t xml:space="preserve"> </w:t>
      </w:r>
      <w:r w:rsidR="00640250" w:rsidRPr="00C67CA3">
        <w:rPr>
          <w:rFonts w:ascii="Times New Roman" w:hAnsi="Times New Roman" w:cs="Times New Roman"/>
          <w:bCs/>
          <w:sz w:val="24"/>
        </w:rPr>
        <w:t>председател</w:t>
      </w:r>
    </w:p>
    <w:p w14:paraId="7FBD0EC4" w14:textId="77777777" w:rsidR="00F44E40" w:rsidRPr="00C67CA3" w:rsidRDefault="00640250" w:rsidP="00891C26">
      <w:pPr>
        <w:pStyle w:val="10"/>
        <w:numPr>
          <w:ilvl w:val="0"/>
          <w:numId w:val="16"/>
        </w:numPr>
        <w:spacing w:line="276" w:lineRule="auto"/>
        <w:ind w:left="1134" w:hanging="283"/>
        <w:jc w:val="both"/>
        <w:rPr>
          <w:rFonts w:ascii="Times New Roman" w:hAnsi="Times New Roman" w:cs="Times New Roman"/>
          <w:bCs/>
          <w:sz w:val="24"/>
        </w:rPr>
      </w:pPr>
      <w:r w:rsidRPr="00C67CA3">
        <w:rPr>
          <w:rFonts w:ascii="Times New Roman" w:hAnsi="Times New Roman" w:cs="Times New Roman"/>
          <w:bCs/>
          <w:sz w:val="24"/>
        </w:rPr>
        <w:t>Красимир Атанасов Желев</w:t>
      </w:r>
      <w:r w:rsidR="00C608B2" w:rsidRPr="00C67CA3">
        <w:rPr>
          <w:rFonts w:ascii="Times New Roman" w:hAnsi="Times New Roman" w:cs="Times New Roman"/>
          <w:bCs/>
          <w:sz w:val="24"/>
        </w:rPr>
        <w:t xml:space="preserve"> –</w:t>
      </w:r>
      <w:r w:rsidRPr="00C67CA3">
        <w:rPr>
          <w:rFonts w:ascii="Times New Roman" w:hAnsi="Times New Roman" w:cs="Times New Roman"/>
          <w:bCs/>
          <w:sz w:val="24"/>
        </w:rPr>
        <w:t xml:space="preserve"> член</w:t>
      </w:r>
    </w:p>
    <w:p w14:paraId="12EC6D51" w14:textId="77777777" w:rsidR="00F44E40" w:rsidRPr="00E0078F" w:rsidRDefault="00640250" w:rsidP="00891C26">
      <w:pPr>
        <w:pStyle w:val="10"/>
        <w:numPr>
          <w:ilvl w:val="0"/>
          <w:numId w:val="16"/>
        </w:numPr>
        <w:spacing w:line="276" w:lineRule="auto"/>
        <w:ind w:left="1134" w:hanging="283"/>
        <w:jc w:val="both"/>
        <w:rPr>
          <w:rFonts w:ascii="Times New Roman" w:hAnsi="Times New Roman" w:cs="Times New Roman"/>
          <w:bCs/>
          <w:sz w:val="24"/>
        </w:rPr>
      </w:pPr>
      <w:r w:rsidRPr="00C67CA3">
        <w:rPr>
          <w:rFonts w:ascii="Times New Roman" w:hAnsi="Times New Roman" w:cs="Times New Roman"/>
          <w:bCs/>
          <w:sz w:val="24"/>
        </w:rPr>
        <w:t>Ганчо Йовчев Тенев</w:t>
      </w:r>
      <w:r w:rsidR="00C608B2" w:rsidRPr="00C67CA3">
        <w:rPr>
          <w:rFonts w:ascii="Times New Roman" w:hAnsi="Times New Roman" w:cs="Times New Roman"/>
          <w:bCs/>
          <w:sz w:val="24"/>
        </w:rPr>
        <w:t xml:space="preserve"> –</w:t>
      </w:r>
      <w:r w:rsidR="001C2475" w:rsidRPr="00C67CA3">
        <w:rPr>
          <w:rFonts w:ascii="Times New Roman" w:hAnsi="Times New Roman" w:cs="Times New Roman"/>
          <w:bCs/>
          <w:sz w:val="24"/>
        </w:rPr>
        <w:t xml:space="preserve"> </w:t>
      </w:r>
      <w:r w:rsidR="00004820">
        <w:rPr>
          <w:rFonts w:ascii="Times New Roman" w:hAnsi="Times New Roman" w:cs="Times New Roman"/>
          <w:bCs/>
          <w:sz w:val="24"/>
        </w:rPr>
        <w:t>член</w:t>
      </w:r>
    </w:p>
    <w:p w14:paraId="132A7680" w14:textId="77777777" w:rsidR="00E0078F" w:rsidRPr="007359E8" w:rsidRDefault="00E0078F" w:rsidP="00891C26">
      <w:pPr>
        <w:pStyle w:val="ListParagraph1"/>
        <w:numPr>
          <w:ilvl w:val="0"/>
          <w:numId w:val="16"/>
        </w:numPr>
        <w:spacing w:after="240" w:line="276" w:lineRule="auto"/>
        <w:ind w:left="1134" w:hanging="283"/>
        <w:jc w:val="both"/>
        <w:rPr>
          <w:rFonts w:ascii="Times New Roman" w:hAnsi="Times New Roman" w:cs="Times New Roman"/>
          <w:sz w:val="24"/>
          <w:szCs w:val="24"/>
        </w:rPr>
      </w:pPr>
      <w:r w:rsidRPr="007359E8">
        <w:rPr>
          <w:rFonts w:ascii="Times New Roman" w:hAnsi="Times New Roman" w:cs="Times New Roman"/>
          <w:sz w:val="24"/>
          <w:szCs w:val="24"/>
        </w:rPr>
        <w:t xml:space="preserve">Наско Николов Драков </w:t>
      </w:r>
      <w:r w:rsidR="00E80CD5">
        <w:rPr>
          <w:rFonts w:ascii="Times New Roman" w:hAnsi="Times New Roman" w:cs="Times New Roman"/>
          <w:sz w:val="24"/>
          <w:szCs w:val="24"/>
        </w:rPr>
        <w:t>–</w:t>
      </w:r>
      <w:r w:rsidRPr="007359E8">
        <w:rPr>
          <w:rFonts w:ascii="Times New Roman" w:hAnsi="Times New Roman" w:cs="Times New Roman"/>
          <w:sz w:val="24"/>
          <w:szCs w:val="24"/>
        </w:rPr>
        <w:t xml:space="preserve"> член</w:t>
      </w:r>
    </w:p>
    <w:p w14:paraId="5F10B735" w14:textId="77777777" w:rsidR="00B274A5" w:rsidRDefault="00640250" w:rsidP="00891C26">
      <w:pPr>
        <w:pStyle w:val="BodyText"/>
        <w:spacing w:line="276" w:lineRule="auto"/>
        <w:ind w:firstLine="851"/>
        <w:jc w:val="both"/>
      </w:pPr>
      <w:r w:rsidRPr="00C67CA3">
        <w:lastRenderedPageBreak/>
        <w:t xml:space="preserve">В рамките на правомощията си Изпълнителният </w:t>
      </w:r>
      <w:r w:rsidR="001C2475" w:rsidRPr="00C67CA3">
        <w:t>Д</w:t>
      </w:r>
      <w:r w:rsidRPr="00C67CA3">
        <w:t xml:space="preserve">иректор разработва и утвърждава </w:t>
      </w:r>
      <w:r w:rsidR="00E673A8">
        <w:t xml:space="preserve">организационна </w:t>
      </w:r>
      <w:r w:rsidRPr="00C67CA3">
        <w:t>структура</w:t>
      </w:r>
      <w:r w:rsidR="00614C25">
        <w:t xml:space="preserve"> на </w:t>
      </w:r>
      <w:r w:rsidR="00E673A8">
        <w:t>дружеството,</w:t>
      </w:r>
      <w:r w:rsidR="00025AE0">
        <w:t xml:space="preserve"> </w:t>
      </w:r>
      <w:r w:rsidR="00E673A8">
        <w:t xml:space="preserve">въз основа </w:t>
      </w:r>
      <w:r w:rsidR="007A22B3">
        <w:t xml:space="preserve">на </w:t>
      </w:r>
      <w:r w:rsidR="00E673A8">
        <w:t>която се изготвя и утвърждава щатно разписание</w:t>
      </w:r>
      <w:r w:rsidRPr="00C67CA3">
        <w:t>.</w:t>
      </w:r>
    </w:p>
    <w:p w14:paraId="1F515AA0" w14:textId="77777777" w:rsidR="0048373F" w:rsidRDefault="0048373F" w:rsidP="0048373F">
      <w:pPr>
        <w:pStyle w:val="BodyText"/>
        <w:spacing w:line="276" w:lineRule="auto"/>
        <w:jc w:val="both"/>
      </w:pPr>
    </w:p>
    <w:p w14:paraId="0F0E74F5" w14:textId="77777777" w:rsidR="0048373F" w:rsidRDefault="00B274A5" w:rsidP="006A7C16">
      <w:pPr>
        <w:pStyle w:val="BodyText"/>
        <w:spacing w:line="276" w:lineRule="auto"/>
        <w:ind w:left="-284"/>
        <w:jc w:val="both"/>
      </w:pPr>
      <w:r>
        <w:rPr>
          <w:noProof/>
        </w:rPr>
        <w:drawing>
          <wp:inline distT="0" distB="0" distL="0" distR="0" wp14:anchorId="52CBD27D" wp14:editId="11C1D3FF">
            <wp:extent cx="6332334" cy="4019910"/>
            <wp:effectExtent l="0" t="0" r="0" b="0"/>
            <wp:docPr id="12" name="Картина 12" descr="Структура (3)2018 go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3)2018 godina"/>
                    <pic:cNvPicPr>
                      <a:picLocks noChangeAspect="1" noChangeArrowheads="1"/>
                    </pic:cNvPicPr>
                  </pic:nvPicPr>
                  <pic:blipFill>
                    <a:blip r:embed="rId9" cstate="print">
                      <a:extLst>
                        <a:ext uri="{28A0092B-C50C-407E-A947-70E740481C1C}">
                          <a14:useLocalDpi xmlns:a14="http://schemas.microsoft.com/office/drawing/2010/main" val="0"/>
                        </a:ext>
                      </a:extLst>
                    </a:blip>
                    <a:srcRect t="9774" b="12782"/>
                    <a:stretch>
                      <a:fillRect/>
                    </a:stretch>
                  </pic:blipFill>
                  <pic:spPr bwMode="auto">
                    <a:xfrm>
                      <a:off x="0" y="0"/>
                      <a:ext cx="6337963" cy="4023483"/>
                    </a:xfrm>
                    <a:prstGeom prst="rect">
                      <a:avLst/>
                    </a:prstGeom>
                    <a:noFill/>
                    <a:ln>
                      <a:noFill/>
                    </a:ln>
                  </pic:spPr>
                </pic:pic>
              </a:graphicData>
            </a:graphic>
          </wp:inline>
        </w:drawing>
      </w:r>
    </w:p>
    <w:p w14:paraId="38A9A3C3" w14:textId="77777777" w:rsidR="0048373F" w:rsidRDefault="0048373F" w:rsidP="00C957E9">
      <w:pPr>
        <w:pStyle w:val="BodyText"/>
        <w:spacing w:line="276" w:lineRule="auto"/>
        <w:jc w:val="both"/>
      </w:pPr>
    </w:p>
    <w:p w14:paraId="5EFC31A0" w14:textId="77777777" w:rsidR="00640250" w:rsidRPr="00C67CA3" w:rsidRDefault="00640250" w:rsidP="0048373F">
      <w:pPr>
        <w:pStyle w:val="BodyText"/>
        <w:spacing w:line="276" w:lineRule="auto"/>
        <w:ind w:firstLine="851"/>
        <w:jc w:val="both"/>
      </w:pPr>
      <w:r w:rsidRPr="00C67CA3">
        <w:t xml:space="preserve">Управлението на Дружеството се осъществява </w:t>
      </w:r>
      <w:r w:rsidR="00DD5C40">
        <w:t>в три</w:t>
      </w:r>
      <w:r w:rsidRPr="00C67CA3">
        <w:t xml:space="preserve"> основни </w:t>
      </w:r>
      <w:r w:rsidR="002774A8" w:rsidRPr="00C67CA3">
        <w:t xml:space="preserve">направления </w:t>
      </w:r>
      <w:r w:rsidRPr="00C67CA3">
        <w:t>техническ</w:t>
      </w:r>
      <w:r w:rsidR="002774A8" w:rsidRPr="00C67CA3">
        <w:t>о</w:t>
      </w:r>
      <w:r w:rsidR="00FC5C23" w:rsidRPr="00FC5C23">
        <w:t xml:space="preserve"> </w:t>
      </w:r>
      <w:r w:rsidR="00FC5C23" w:rsidRPr="00C67CA3">
        <w:t xml:space="preserve">икономическо с ръководители </w:t>
      </w:r>
      <w:r w:rsidR="00FC5C23">
        <w:t>главен инженер „Експлоатация“ и</w:t>
      </w:r>
      <w:r w:rsidR="00F94814">
        <w:t xml:space="preserve"> главен инженер „Рехабилитация“,</w:t>
      </w:r>
      <w:r w:rsidR="002774A8" w:rsidRPr="00C67CA3">
        <w:t xml:space="preserve"> </w:t>
      </w:r>
      <w:r w:rsidR="00DD5C40">
        <w:t>финансово-</w:t>
      </w:r>
      <w:r w:rsidR="00FC5C23">
        <w:t>икономическо с р</w:t>
      </w:r>
      <w:r w:rsidR="002774A8" w:rsidRPr="00C67CA3">
        <w:t>ък</w:t>
      </w:r>
      <w:r w:rsidR="00F94814">
        <w:t>оводител направление „Финансово</w:t>
      </w:r>
      <w:r w:rsidR="002774A8" w:rsidRPr="00C67CA3">
        <w:t>–икономическо”</w:t>
      </w:r>
      <w:r w:rsidR="00F94814">
        <w:t xml:space="preserve"> и с ръководител отдел „</w:t>
      </w:r>
      <w:r w:rsidR="00FC5C23">
        <w:t>Административен“</w:t>
      </w:r>
      <w:r w:rsidR="00F94814">
        <w:t>.</w:t>
      </w:r>
    </w:p>
    <w:p w14:paraId="0C08B366" w14:textId="77777777" w:rsidR="00640250" w:rsidRPr="00C67CA3" w:rsidRDefault="00640250" w:rsidP="00891C26">
      <w:pPr>
        <w:pStyle w:val="BodyText"/>
        <w:spacing w:line="276" w:lineRule="auto"/>
        <w:ind w:firstLine="567"/>
        <w:jc w:val="both"/>
      </w:pPr>
      <w:r w:rsidRPr="00C67CA3">
        <w:t xml:space="preserve">В </w:t>
      </w:r>
      <w:r w:rsidR="002774A8" w:rsidRPr="00C67CA3">
        <w:t xml:space="preserve">направление производствено-техническо </w:t>
      </w:r>
      <w:r w:rsidRPr="00C67CA3">
        <w:t xml:space="preserve">са обособени </w:t>
      </w:r>
      <w:r w:rsidR="00220955" w:rsidRPr="00C67CA3">
        <w:t xml:space="preserve">пет </w:t>
      </w:r>
      <w:r w:rsidRPr="00C67CA3">
        <w:t>отдела:</w:t>
      </w:r>
    </w:p>
    <w:p w14:paraId="44D71597" w14:textId="77777777" w:rsidR="00F44E40" w:rsidRPr="00F94814" w:rsidRDefault="00640250" w:rsidP="00891C26">
      <w:pPr>
        <w:pStyle w:val="ListParagraph1"/>
        <w:numPr>
          <w:ilvl w:val="0"/>
          <w:numId w:val="16"/>
        </w:numPr>
        <w:spacing w:line="276" w:lineRule="auto"/>
        <w:ind w:left="1134" w:hanging="283"/>
        <w:jc w:val="both"/>
        <w:rPr>
          <w:rFonts w:ascii="Times New Roman" w:hAnsi="Times New Roman" w:cs="Times New Roman"/>
          <w:sz w:val="24"/>
          <w:szCs w:val="24"/>
        </w:rPr>
      </w:pPr>
      <w:r w:rsidRPr="00F94814">
        <w:rPr>
          <w:rFonts w:ascii="Times New Roman" w:hAnsi="Times New Roman" w:cs="Times New Roman"/>
          <w:sz w:val="24"/>
          <w:szCs w:val="24"/>
        </w:rPr>
        <w:t>отдел “Водоснабдяване и канализация”</w:t>
      </w:r>
    </w:p>
    <w:p w14:paraId="0A640AEA" w14:textId="77777777" w:rsidR="00F44E40" w:rsidRPr="00F94814" w:rsidRDefault="00640250" w:rsidP="00891C26">
      <w:pPr>
        <w:pStyle w:val="ListParagraph1"/>
        <w:numPr>
          <w:ilvl w:val="0"/>
          <w:numId w:val="16"/>
        </w:numPr>
        <w:spacing w:line="276" w:lineRule="auto"/>
        <w:ind w:left="1134" w:hanging="283"/>
        <w:jc w:val="both"/>
        <w:rPr>
          <w:rFonts w:ascii="Times New Roman" w:hAnsi="Times New Roman" w:cs="Times New Roman"/>
          <w:sz w:val="24"/>
          <w:szCs w:val="24"/>
        </w:rPr>
      </w:pPr>
      <w:r w:rsidRPr="00F94814">
        <w:rPr>
          <w:rFonts w:ascii="Times New Roman" w:hAnsi="Times New Roman" w:cs="Times New Roman"/>
          <w:sz w:val="24"/>
          <w:szCs w:val="24"/>
        </w:rPr>
        <w:t>отдел “Енерго-механичен”</w:t>
      </w:r>
    </w:p>
    <w:p w14:paraId="3B036A4E" w14:textId="77777777" w:rsidR="00F44E40" w:rsidRPr="00F94814" w:rsidRDefault="001C2475" w:rsidP="00891C26">
      <w:pPr>
        <w:pStyle w:val="ListParagraph1"/>
        <w:numPr>
          <w:ilvl w:val="0"/>
          <w:numId w:val="16"/>
        </w:numPr>
        <w:spacing w:line="276" w:lineRule="auto"/>
        <w:ind w:left="1134" w:hanging="283"/>
        <w:jc w:val="both"/>
        <w:rPr>
          <w:rFonts w:ascii="Times New Roman" w:hAnsi="Times New Roman" w:cs="Times New Roman"/>
          <w:sz w:val="24"/>
          <w:szCs w:val="24"/>
        </w:rPr>
      </w:pPr>
      <w:r w:rsidRPr="00F94814">
        <w:rPr>
          <w:rFonts w:ascii="Times New Roman" w:hAnsi="Times New Roman" w:cs="Times New Roman"/>
          <w:sz w:val="24"/>
          <w:szCs w:val="24"/>
        </w:rPr>
        <w:t>отдел “</w:t>
      </w:r>
      <w:r w:rsidR="00640250" w:rsidRPr="00F94814">
        <w:rPr>
          <w:rFonts w:ascii="Times New Roman" w:hAnsi="Times New Roman" w:cs="Times New Roman"/>
          <w:sz w:val="24"/>
          <w:szCs w:val="24"/>
        </w:rPr>
        <w:t>Пречистване”</w:t>
      </w:r>
    </w:p>
    <w:p w14:paraId="0D120E20" w14:textId="77777777" w:rsidR="00F44E40" w:rsidRPr="00F94814" w:rsidRDefault="001C2475" w:rsidP="00891C26">
      <w:pPr>
        <w:pStyle w:val="ListParagraph1"/>
        <w:numPr>
          <w:ilvl w:val="0"/>
          <w:numId w:val="16"/>
        </w:numPr>
        <w:spacing w:line="276" w:lineRule="auto"/>
        <w:ind w:left="1134" w:hanging="283"/>
        <w:jc w:val="both"/>
        <w:rPr>
          <w:rFonts w:ascii="Times New Roman" w:hAnsi="Times New Roman" w:cs="Times New Roman"/>
          <w:sz w:val="24"/>
          <w:szCs w:val="24"/>
        </w:rPr>
      </w:pPr>
      <w:r w:rsidRPr="00F94814">
        <w:rPr>
          <w:rFonts w:ascii="Times New Roman" w:hAnsi="Times New Roman" w:cs="Times New Roman"/>
          <w:sz w:val="24"/>
          <w:szCs w:val="24"/>
        </w:rPr>
        <w:t>отдел “Проектиране”</w:t>
      </w:r>
    </w:p>
    <w:p w14:paraId="08B4A8A9" w14:textId="77777777" w:rsidR="00F44E40" w:rsidRPr="00F94814" w:rsidRDefault="00BA6AF3" w:rsidP="00891C26">
      <w:pPr>
        <w:pStyle w:val="ListParagraph1"/>
        <w:numPr>
          <w:ilvl w:val="0"/>
          <w:numId w:val="16"/>
        </w:numPr>
        <w:spacing w:after="240" w:line="276" w:lineRule="auto"/>
        <w:ind w:left="1134" w:hanging="283"/>
        <w:jc w:val="both"/>
        <w:rPr>
          <w:rFonts w:ascii="Times New Roman" w:hAnsi="Times New Roman" w:cs="Times New Roman"/>
          <w:sz w:val="24"/>
          <w:szCs w:val="24"/>
        </w:rPr>
      </w:pPr>
      <w:r w:rsidRPr="00F94814">
        <w:rPr>
          <w:rFonts w:ascii="Times New Roman" w:hAnsi="Times New Roman" w:cs="Times New Roman"/>
          <w:sz w:val="24"/>
          <w:szCs w:val="24"/>
        </w:rPr>
        <w:t>о</w:t>
      </w:r>
      <w:r w:rsidR="001C2475" w:rsidRPr="00F94814">
        <w:rPr>
          <w:rFonts w:ascii="Times New Roman" w:hAnsi="Times New Roman" w:cs="Times New Roman"/>
          <w:sz w:val="24"/>
          <w:szCs w:val="24"/>
        </w:rPr>
        <w:t>тдел “</w:t>
      </w:r>
      <w:r w:rsidR="00F94814">
        <w:rPr>
          <w:rFonts w:ascii="Times New Roman" w:hAnsi="Times New Roman" w:cs="Times New Roman"/>
          <w:sz w:val="24"/>
          <w:szCs w:val="24"/>
        </w:rPr>
        <w:t>Строителство”</w:t>
      </w:r>
    </w:p>
    <w:p w14:paraId="15B7165E" w14:textId="77777777" w:rsidR="00640250" w:rsidRPr="00C67CA3" w:rsidRDefault="00640250" w:rsidP="00891C26">
      <w:pPr>
        <w:pStyle w:val="BodyText"/>
        <w:spacing w:line="276" w:lineRule="auto"/>
        <w:ind w:firstLine="851"/>
        <w:jc w:val="both"/>
      </w:pPr>
      <w:r w:rsidRPr="00C67CA3">
        <w:t>Икономическата дейност се осъществява чрез отдели със специфични икономически функции.</w:t>
      </w:r>
    </w:p>
    <w:p w14:paraId="2BE1C5C1" w14:textId="77777777" w:rsidR="00640250" w:rsidRPr="00C67CA3" w:rsidRDefault="00640250" w:rsidP="00891C26">
      <w:pPr>
        <w:pStyle w:val="BodyText"/>
        <w:spacing w:line="276" w:lineRule="auto"/>
        <w:ind w:firstLine="851"/>
        <w:jc w:val="both"/>
      </w:pPr>
      <w:r w:rsidRPr="00C67CA3">
        <w:t xml:space="preserve">На пряко подчинение на Изпълнителния </w:t>
      </w:r>
      <w:r w:rsidR="00595F09" w:rsidRPr="00C67CA3">
        <w:t>Д</w:t>
      </w:r>
      <w:r w:rsidRPr="00C67CA3">
        <w:t>иректор са отделни тясно специализирани специалисти, подпомагащи управленската дейност.</w:t>
      </w:r>
    </w:p>
    <w:p w14:paraId="0F6C3A09" w14:textId="77777777" w:rsidR="00640250" w:rsidRPr="00926261" w:rsidRDefault="00640250" w:rsidP="00891C26">
      <w:pPr>
        <w:pStyle w:val="BodyText"/>
        <w:spacing w:line="276" w:lineRule="auto"/>
        <w:ind w:firstLine="851"/>
        <w:jc w:val="both"/>
        <w:rPr>
          <w:lang w:val="en-US"/>
        </w:rPr>
      </w:pPr>
      <w:r w:rsidRPr="00C67CA3">
        <w:t xml:space="preserve">За всички </w:t>
      </w:r>
      <w:r w:rsidR="00C65736" w:rsidRPr="00C67CA3">
        <w:t>отдели</w:t>
      </w:r>
      <w:r w:rsidRPr="00C67CA3">
        <w:t xml:space="preserve"> са разработени производствени щатове, които са в основата на </w:t>
      </w:r>
      <w:r w:rsidRPr="00C67CA3">
        <w:lastRenderedPageBreak/>
        <w:t>изискванията за професионални умения, квалификация и задължения. Разработени са и са подписани длъжностни характеристики за всяко работно място.</w:t>
      </w:r>
    </w:p>
    <w:p w14:paraId="45FB123B" w14:textId="77777777" w:rsidR="00640250" w:rsidRPr="00C67CA3" w:rsidRDefault="00FC5C23" w:rsidP="00891C26">
      <w:pPr>
        <w:pStyle w:val="BodyText"/>
        <w:spacing w:line="276" w:lineRule="auto"/>
        <w:ind w:firstLine="851"/>
        <w:jc w:val="both"/>
      </w:pPr>
      <w:r>
        <w:t xml:space="preserve">Организационна </w:t>
      </w:r>
      <w:r w:rsidRPr="00C67CA3">
        <w:t>структура</w:t>
      </w:r>
      <w:r>
        <w:t xml:space="preserve"> на дружеството</w:t>
      </w:r>
      <w:r w:rsidRPr="00C67CA3">
        <w:t xml:space="preserve"> </w:t>
      </w:r>
      <w:r>
        <w:t xml:space="preserve">следва </w:t>
      </w:r>
      <w:r w:rsidR="00640250" w:rsidRPr="00C67CA3">
        <w:t xml:space="preserve"> характера на изпълняваните услуги и обслужван</w:t>
      </w:r>
      <w:r>
        <w:t>е</w:t>
      </w:r>
      <w:r w:rsidR="00640250" w:rsidRPr="00C67CA3">
        <w:t>т</w:t>
      </w:r>
      <w:r>
        <w:t xml:space="preserve">о на </w:t>
      </w:r>
      <w:r w:rsidR="00640250" w:rsidRPr="00C67CA3">
        <w:t xml:space="preserve"> клиенти</w:t>
      </w:r>
      <w:r>
        <w:t>те</w:t>
      </w:r>
      <w:r w:rsidR="00640250" w:rsidRPr="00C67CA3">
        <w:t>. Промените в списъчния и квалификационен състав на персонала е подчинен на целите на Дружеството.</w:t>
      </w:r>
    </w:p>
    <w:p w14:paraId="4BF74CA8" w14:textId="77777777" w:rsidR="006A0DA3" w:rsidRPr="00C67CA3" w:rsidRDefault="00640250" w:rsidP="00891C26">
      <w:pPr>
        <w:pStyle w:val="BodyText"/>
        <w:spacing w:line="276" w:lineRule="auto"/>
        <w:ind w:firstLine="851"/>
        <w:jc w:val="both"/>
      </w:pPr>
      <w:r w:rsidRPr="00C67CA3">
        <w:t>Във</w:t>
      </w:r>
      <w:r w:rsidR="007F5D94" w:rsidRPr="00C67CA3">
        <w:t xml:space="preserve"> </w:t>
      </w:r>
      <w:r w:rsidR="00595F09" w:rsidRPr="00C67CA3">
        <w:t>„</w:t>
      </w:r>
      <w:r w:rsidRPr="00C67CA3">
        <w:t>Водоснабдяване и канализация”</w:t>
      </w:r>
      <w:r w:rsidR="004B3B9D" w:rsidRPr="00C67CA3">
        <w:t xml:space="preserve"> </w:t>
      </w:r>
      <w:r w:rsidRPr="00C67CA3">
        <w:t>ЕАД</w:t>
      </w:r>
      <w:r w:rsidR="004B3B9D" w:rsidRPr="00C67CA3">
        <w:t>,</w:t>
      </w:r>
      <w:r w:rsidRPr="00C67CA3">
        <w:t xml:space="preserve"> </w:t>
      </w:r>
      <w:r w:rsidR="007F5D94" w:rsidRPr="00C67CA3">
        <w:t xml:space="preserve">гр. </w:t>
      </w:r>
      <w:r w:rsidRPr="00C67CA3">
        <w:t xml:space="preserve">Бургас работят по трудови </w:t>
      </w:r>
      <w:r w:rsidR="000F77FA" w:rsidRPr="00C67CA3">
        <w:t xml:space="preserve">договори </w:t>
      </w:r>
      <w:r w:rsidR="00FD0D2A" w:rsidRPr="00DA1231">
        <w:t>1</w:t>
      </w:r>
      <w:r w:rsidR="0040470A" w:rsidRPr="00DA1231">
        <w:t xml:space="preserve"> </w:t>
      </w:r>
      <w:r w:rsidR="00FD0D2A" w:rsidRPr="00DA1231">
        <w:t>2</w:t>
      </w:r>
      <w:r w:rsidR="00025AE0" w:rsidRPr="00DA1231">
        <w:t>7</w:t>
      </w:r>
      <w:r w:rsidR="008C7B05" w:rsidRPr="00DA1231">
        <w:t>7</w:t>
      </w:r>
      <w:r w:rsidR="00FD0D2A" w:rsidRPr="00175ECE">
        <w:t xml:space="preserve"> </w:t>
      </w:r>
      <w:r w:rsidR="000F77FA" w:rsidRPr="00C67CA3">
        <w:t>човека за 201</w:t>
      </w:r>
      <w:r w:rsidR="008C7B05">
        <w:t>9</w:t>
      </w:r>
      <w:r w:rsidR="000F77FA" w:rsidRPr="00C67CA3">
        <w:t xml:space="preserve"> г.</w:t>
      </w:r>
      <w:r w:rsidRPr="00C67CA3">
        <w:t xml:space="preserve"> </w:t>
      </w:r>
    </w:p>
    <w:p w14:paraId="6944A019" w14:textId="77777777" w:rsidR="009F4EFF" w:rsidRPr="00C67CA3" w:rsidRDefault="009F4EFF" w:rsidP="00891C26">
      <w:pPr>
        <w:pStyle w:val="BodyText"/>
        <w:spacing w:line="276" w:lineRule="auto"/>
        <w:ind w:firstLine="851"/>
        <w:jc w:val="both"/>
      </w:pPr>
      <w:r w:rsidRPr="00C67CA3">
        <w:t>В съответствие с регистрацията в търговския регистър Дружеството извършва сделки по водоснабдяване и канализация, напояване, хидроенергетика, отводняване; изграждане, поддържане и използване на водостопански системи и отделни водохранилища; проучване и проектиране в сферата на водоснабдяването и канализацията; експлоатация на язовири и пречистване на отпадни води.</w:t>
      </w:r>
    </w:p>
    <w:p w14:paraId="08BEBB79" w14:textId="77777777" w:rsidR="009F4EFF" w:rsidRPr="00C67CA3" w:rsidRDefault="009F4EFF" w:rsidP="00891C26">
      <w:pPr>
        <w:pStyle w:val="BodyText"/>
        <w:spacing w:line="276" w:lineRule="auto"/>
        <w:ind w:firstLine="851"/>
        <w:jc w:val="both"/>
      </w:pPr>
      <w:r w:rsidRPr="00C67CA3">
        <w:t>Утвърденият предмет на дейност определя стопанските дейности</w:t>
      </w:r>
      <w:r w:rsidR="007F5D94" w:rsidRPr="00C67CA3">
        <w:t>,</w:t>
      </w:r>
      <w:r w:rsidRPr="00C67CA3">
        <w:t xml:space="preserve"> извършвани от </w:t>
      </w:r>
      <w:r w:rsidR="007F5D94" w:rsidRPr="00C67CA3">
        <w:t>Д</w:t>
      </w:r>
      <w:r w:rsidRPr="00C67CA3">
        <w:t xml:space="preserve">ружеството на територията на Бургаска област, свързани с </w:t>
      </w:r>
      <w:r w:rsidR="00E9333C" w:rsidRPr="00C67CA3">
        <w:t>доставяне питейна вода</w:t>
      </w:r>
      <w:r w:rsidRPr="00C67CA3">
        <w:t xml:space="preserve">, отвеждане и пречистване на </w:t>
      </w:r>
      <w:r w:rsidR="00E9333C" w:rsidRPr="00C67CA3">
        <w:t xml:space="preserve">отпадъчни </w:t>
      </w:r>
      <w:r w:rsidRPr="00C67CA3">
        <w:t>води, а също така и изграждане на нови съоръжения</w:t>
      </w:r>
      <w:r w:rsidR="007F5D94" w:rsidRPr="00C67CA3">
        <w:t>,</w:t>
      </w:r>
      <w:r w:rsidRPr="00C67CA3">
        <w:t xml:space="preserve"> свързани с тази дейност.</w:t>
      </w:r>
      <w:r w:rsidR="007F5D94" w:rsidRPr="00C67CA3">
        <w:t xml:space="preserve"> </w:t>
      </w:r>
      <w:r w:rsidRPr="00C67CA3">
        <w:t>С тази си функция</w:t>
      </w:r>
      <w:r w:rsidR="007F5D94" w:rsidRPr="00C67CA3">
        <w:t>,</w:t>
      </w:r>
      <w:r w:rsidRPr="00C67CA3">
        <w:t xml:space="preserve"> Дружеството е единствен доставчик на питейна вода на населението в областта и отговорен фактор за опазване на околната среда и екологичното равновесие в района.</w:t>
      </w:r>
    </w:p>
    <w:p w14:paraId="182AC303" w14:textId="77777777" w:rsidR="009F4EFF" w:rsidRPr="00C67CA3" w:rsidRDefault="009F4EFF" w:rsidP="00891C26">
      <w:pPr>
        <w:pStyle w:val="BodyText"/>
        <w:spacing w:line="276" w:lineRule="auto"/>
        <w:ind w:firstLine="851"/>
        <w:jc w:val="both"/>
      </w:pPr>
      <w:r w:rsidRPr="00C67CA3">
        <w:t xml:space="preserve">И през </w:t>
      </w:r>
      <w:r w:rsidR="00C3480B" w:rsidRPr="00C67CA3">
        <w:t>201</w:t>
      </w:r>
      <w:r w:rsidR="008C7B05">
        <w:t>9</w:t>
      </w:r>
      <w:r w:rsidR="00C3480B" w:rsidRPr="00C67CA3">
        <w:t xml:space="preserve"> </w:t>
      </w:r>
      <w:r w:rsidRPr="00C67CA3">
        <w:t>г</w:t>
      </w:r>
      <w:r w:rsidR="00885B2B" w:rsidRPr="00C67CA3">
        <w:t>.</w:t>
      </w:r>
      <w:r w:rsidRPr="00C67CA3">
        <w:t xml:space="preserve"> </w:t>
      </w:r>
      <w:r w:rsidR="00595F09" w:rsidRPr="00C67CA3">
        <w:t>„</w:t>
      </w:r>
      <w:r w:rsidR="007F5D94" w:rsidRPr="00C67CA3">
        <w:t>Водоснабдяване и канализация”</w:t>
      </w:r>
      <w:r w:rsidRPr="00C67CA3">
        <w:t xml:space="preserve"> ЕАД</w:t>
      </w:r>
      <w:r w:rsidR="004B3B9D" w:rsidRPr="00C67CA3">
        <w:t>, гр.</w:t>
      </w:r>
      <w:r w:rsidRPr="00C67CA3">
        <w:t xml:space="preserve"> Бургас осъществява тези си функции в съответствие с екологичните норми, като самостоятелна стопанска единица, която експлоатира, под</w:t>
      </w:r>
      <w:r w:rsidR="007F5D94" w:rsidRPr="00C67CA3">
        <w:t>д</w:t>
      </w:r>
      <w:r w:rsidRPr="00C67CA3">
        <w:t>ържа, модернизира и реконструира съоръжения, собственост на държавата</w:t>
      </w:r>
      <w:r w:rsidR="004123CC" w:rsidRPr="00C67CA3">
        <w:t xml:space="preserve"> и общините</w:t>
      </w:r>
      <w:r w:rsidR="007F5D94" w:rsidRPr="00C67CA3">
        <w:t>,</w:t>
      </w:r>
      <w:r w:rsidRPr="00C67CA3">
        <w:t xml:space="preserve"> като съблюдава нормативната уредба в сферата на водоснабдяването и екологичното равновесие в подпочвените и повърхностните води.</w:t>
      </w:r>
    </w:p>
    <w:p w14:paraId="3B880A74" w14:textId="77777777" w:rsidR="009F4EFF" w:rsidRDefault="009F4EFF" w:rsidP="00891C26">
      <w:pPr>
        <w:pStyle w:val="BodyText"/>
        <w:spacing w:line="276" w:lineRule="auto"/>
        <w:ind w:firstLine="851"/>
        <w:jc w:val="both"/>
        <w:rPr>
          <w:spacing w:val="-2"/>
          <w:lang w:val="en-US"/>
        </w:rPr>
      </w:pPr>
      <w:r w:rsidRPr="00C67CA3">
        <w:t xml:space="preserve">Годишният доклад за дейността на дружеството има за цел да анализира основните характеристики на дейността по водоснабдяване, канализация и пречистване на </w:t>
      </w:r>
      <w:r w:rsidR="00803B23" w:rsidRPr="00C67CA3">
        <w:t xml:space="preserve">отпадъчни </w:t>
      </w:r>
      <w:r w:rsidRPr="00C67CA3">
        <w:t xml:space="preserve">води и да открие и очертае насоките и перспективите за бъдещото развитие в осъществяване предмета му на дейност. Разработва се на база информация за техническото и икономическото състояние на </w:t>
      </w:r>
      <w:r w:rsidR="007F5D94" w:rsidRPr="00C67CA3">
        <w:t>“</w:t>
      </w:r>
      <w:r w:rsidRPr="00C67CA3">
        <w:t>Водоснабдяване и канализация</w:t>
      </w:r>
      <w:r w:rsidR="007F5D94" w:rsidRPr="00C67CA3">
        <w:t>”</w:t>
      </w:r>
      <w:r w:rsidRPr="00C67CA3">
        <w:t xml:space="preserve"> ЕАД</w:t>
      </w:r>
      <w:r w:rsidR="004B3B9D" w:rsidRPr="00C67CA3">
        <w:t>,</w:t>
      </w:r>
      <w:r w:rsidRPr="00C67CA3">
        <w:t xml:space="preserve"> </w:t>
      </w:r>
      <w:r w:rsidR="004B3B9D" w:rsidRPr="00C67CA3">
        <w:t xml:space="preserve">гр. </w:t>
      </w:r>
      <w:r w:rsidRPr="00C67CA3">
        <w:t>Бургас към мес</w:t>
      </w:r>
      <w:r w:rsidRPr="00F94814">
        <w:t>ец декември</w:t>
      </w:r>
      <w:r w:rsidRPr="00C67CA3">
        <w:rPr>
          <w:spacing w:val="-2"/>
        </w:rPr>
        <w:t xml:space="preserve"> </w:t>
      </w:r>
      <w:r w:rsidR="00C25896" w:rsidRPr="00C67CA3">
        <w:rPr>
          <w:spacing w:val="-2"/>
        </w:rPr>
        <w:t>201</w:t>
      </w:r>
      <w:r w:rsidR="008C7B05">
        <w:rPr>
          <w:spacing w:val="-2"/>
        </w:rPr>
        <w:t>9</w:t>
      </w:r>
      <w:r w:rsidR="00C25896" w:rsidRPr="00C67CA3">
        <w:rPr>
          <w:spacing w:val="-2"/>
        </w:rPr>
        <w:t xml:space="preserve"> </w:t>
      </w:r>
      <w:r w:rsidRPr="00C67CA3">
        <w:rPr>
          <w:spacing w:val="-2"/>
        </w:rPr>
        <w:t>г.</w:t>
      </w:r>
    </w:p>
    <w:p w14:paraId="6D05DF1A" w14:textId="77777777" w:rsidR="00C957E9" w:rsidRPr="00C957E9" w:rsidRDefault="00C957E9" w:rsidP="00C957E9">
      <w:pPr>
        <w:pStyle w:val="BodyText"/>
        <w:spacing w:line="276" w:lineRule="auto"/>
        <w:jc w:val="both"/>
        <w:rPr>
          <w:spacing w:val="-2"/>
          <w:lang w:val="en-US"/>
        </w:rPr>
      </w:pPr>
    </w:p>
    <w:p w14:paraId="154CD5EB" w14:textId="77777777" w:rsidR="00835A5A" w:rsidRPr="00C67CA3" w:rsidRDefault="007E7782" w:rsidP="00891C26">
      <w:pPr>
        <w:pStyle w:val="ListParagraph"/>
        <w:widowControl/>
        <w:numPr>
          <w:ilvl w:val="0"/>
          <w:numId w:val="30"/>
        </w:numPr>
        <w:tabs>
          <w:tab w:val="left" w:pos="851"/>
        </w:tabs>
        <w:autoSpaceDE/>
        <w:autoSpaceDN/>
        <w:adjustRightInd/>
        <w:spacing w:before="240" w:after="240" w:line="276" w:lineRule="auto"/>
        <w:ind w:left="851" w:hanging="284"/>
        <w:jc w:val="both"/>
        <w:rPr>
          <w:b/>
        </w:rPr>
      </w:pPr>
      <w:r w:rsidRPr="00C67CA3">
        <w:rPr>
          <w:b/>
          <w:bCs/>
          <w:spacing w:val="-1"/>
        </w:rPr>
        <w:t xml:space="preserve">Преглед на резултатите от дейността  </w:t>
      </w:r>
      <w:r w:rsidR="00D5061C" w:rsidRPr="00C67CA3">
        <w:rPr>
          <w:b/>
          <w:bCs/>
          <w:spacing w:val="-1"/>
        </w:rPr>
        <w:t xml:space="preserve">и финансовото състояние на </w:t>
      </w:r>
      <w:r w:rsidRPr="00C67CA3">
        <w:rPr>
          <w:b/>
          <w:bCs/>
          <w:spacing w:val="-1"/>
        </w:rPr>
        <w:t>Дружеството</w:t>
      </w:r>
    </w:p>
    <w:p w14:paraId="3FB75A62" w14:textId="77777777" w:rsidR="00835A5A" w:rsidRPr="00C67CA3" w:rsidRDefault="007E7782" w:rsidP="00891C26">
      <w:pPr>
        <w:widowControl/>
        <w:tabs>
          <w:tab w:val="left" w:pos="993"/>
        </w:tabs>
        <w:autoSpaceDE/>
        <w:autoSpaceDN/>
        <w:adjustRightInd/>
        <w:spacing w:before="240" w:line="276" w:lineRule="auto"/>
        <w:ind w:firstLine="851"/>
        <w:jc w:val="both"/>
        <w:rPr>
          <w:b/>
          <w:bCs/>
        </w:rPr>
      </w:pPr>
      <w:r w:rsidRPr="00C67CA3">
        <w:rPr>
          <w:b/>
          <w:bCs/>
        </w:rPr>
        <w:t xml:space="preserve">Общи данни </w:t>
      </w:r>
      <w:r w:rsidRPr="00C67CA3">
        <w:rPr>
          <w:b/>
        </w:rPr>
        <w:t xml:space="preserve">за </w:t>
      </w:r>
      <w:r w:rsidRPr="00C67CA3">
        <w:rPr>
          <w:b/>
          <w:bCs/>
        </w:rPr>
        <w:t>Дружеството</w:t>
      </w:r>
    </w:p>
    <w:p w14:paraId="78133C69" w14:textId="77777777" w:rsidR="00835A5A" w:rsidRPr="00C67CA3" w:rsidRDefault="007E7782" w:rsidP="00891C26">
      <w:pPr>
        <w:pStyle w:val="BodyText"/>
        <w:spacing w:line="276" w:lineRule="auto"/>
        <w:ind w:firstLine="851"/>
        <w:jc w:val="both"/>
      </w:pPr>
      <w:r w:rsidRPr="00C67CA3">
        <w:t>Във връзка с промените в Закона за водите /чл. 198п, ал. 1 във връзка с 198о, ал.1/,</w:t>
      </w:r>
      <w:r w:rsidR="00595F09" w:rsidRPr="00C67CA3">
        <w:t xml:space="preserve"> </w:t>
      </w:r>
      <w:r w:rsidRPr="00C67CA3">
        <w:t xml:space="preserve">„Водоснабдяване и канализация” </w:t>
      </w:r>
      <w:r w:rsidR="00C135AE" w:rsidRPr="00C67CA3">
        <w:t>ЕАД</w:t>
      </w:r>
      <w:r w:rsidRPr="00C67CA3">
        <w:t xml:space="preserve">, гр. </w:t>
      </w:r>
      <w:r w:rsidR="00C135AE" w:rsidRPr="00C67CA3">
        <w:t>Бургас</w:t>
      </w:r>
      <w:r w:rsidRPr="00C67CA3">
        <w:t xml:space="preserve"> (ВиК Оператор) и Асоциация по ВиК на обособената територия, обслужвана от „Водоснабдяване и канализация” </w:t>
      </w:r>
      <w:r w:rsidR="006205C2" w:rsidRPr="00C67CA3">
        <w:t>ЕАД</w:t>
      </w:r>
      <w:r w:rsidRPr="00C67CA3">
        <w:t xml:space="preserve">, </w:t>
      </w:r>
      <w:r w:rsidR="00C135AE" w:rsidRPr="00C67CA3">
        <w:t>Бургас</w:t>
      </w:r>
      <w:r w:rsidRPr="00C67CA3">
        <w:t xml:space="preserve"> подписаха на 2</w:t>
      </w:r>
      <w:r w:rsidR="004239B5" w:rsidRPr="00C67CA3">
        <w:t>5</w:t>
      </w:r>
      <w:r w:rsidRPr="00C67CA3">
        <w:t>.0</w:t>
      </w:r>
      <w:r w:rsidR="00C135AE" w:rsidRPr="00C67CA3">
        <w:t>2</w:t>
      </w:r>
      <w:r w:rsidRPr="00C67CA3">
        <w:t>.2016</w:t>
      </w:r>
      <w:r w:rsidR="006205C2" w:rsidRPr="00C67CA3">
        <w:t xml:space="preserve"> </w:t>
      </w:r>
      <w:r w:rsidRPr="00C67CA3">
        <w:t>г. договор</w:t>
      </w:r>
      <w:r w:rsidR="00C135AE" w:rsidRPr="00C67CA3">
        <w:t xml:space="preserve"> в сила от 01.04.2016 г.</w:t>
      </w:r>
      <w:r w:rsidRPr="00C67CA3">
        <w:t xml:space="preserve">, с който се предоставя на ВиК Оператора изключителното право да стопанисва, поддържа и експлоатира всички съществуващи и бъдещи публични активи, при спазване на изискванията на Закона за водите и Закона за опазване на околната среда. Операторът няма право да продава, </w:t>
      </w:r>
      <w:r w:rsidRPr="00C67CA3">
        <w:lastRenderedPageBreak/>
        <w:t xml:space="preserve">заменя, отдава под наем, обременява с тежести и прехвърля публични активи. Съгласно сключения договор Публичните активи - ВиК системи и съоръжения, могат да се използват само за предоставяне на услугите по доставяне, отвеждане и пречистване на отпадъчни води на потребителите. Операторът има право да получи всички приходи от предоставянето на Услугите и ползването на публичните активи. </w:t>
      </w:r>
    </w:p>
    <w:p w14:paraId="15018E0B" w14:textId="77777777" w:rsidR="00835A5A" w:rsidRPr="00C67CA3" w:rsidRDefault="007E7782" w:rsidP="00891C26">
      <w:pPr>
        <w:pStyle w:val="BodyText"/>
        <w:spacing w:line="276" w:lineRule="auto"/>
        <w:ind w:firstLine="851"/>
        <w:jc w:val="both"/>
      </w:pPr>
      <w:r w:rsidRPr="00C67CA3">
        <w:t xml:space="preserve">Договорът не прехвърля регулярното „право на ползване”, в общоприетия смисъл в счетоводната доктрина, както е при наем/лизинг, тъй като такова право е свързано с наличие или отсъствие на прехвърляне на елементи на контрола относно обстоятелствата и кой определя начина на използване на предоставените активи. При тези договори възложителят запазва своя контрол по отношение на конкретния начин на използване на публичните активи и на това какви услуги следва да предоставя ВиК оператора, на кого и при каква цена, както и това, че възложителят ще контролира всяко значително остатъчно участие в публичните ВиК активи в края на срока на споразумението. Остатъчното участие в публичните активи е приблизително изчислената текуща стойност на активите, все едно те вече са на възраст и са в състоянието, очаквани в края на срока на договора. </w:t>
      </w:r>
    </w:p>
    <w:p w14:paraId="77B3063F" w14:textId="77777777" w:rsidR="00835A5A" w:rsidRDefault="007E7782" w:rsidP="00891C26">
      <w:pPr>
        <w:pStyle w:val="BodyText"/>
        <w:spacing w:line="276" w:lineRule="auto"/>
        <w:ind w:firstLine="851"/>
        <w:jc w:val="both"/>
        <w:rPr>
          <w:lang w:val="en-US"/>
        </w:rPr>
      </w:pPr>
      <w:r w:rsidRPr="00C67CA3">
        <w:t>В замяна на получените по силата на договора права на достъп за експлоатация на публичните активи и приходи от предоставянето на ВиК услугите на потребителите, Операторът поема ангажимент за задължителни инвестиции в конкретно определен размер. Доколкото договорът не предвижда заплащане с парични средства за получените от ВиК Оператора права, то поетите ангажименти за задължителни инвестиции се явяват по същество възнаграждението, дължимо от ВиК Оператора за получените от него права.</w:t>
      </w:r>
    </w:p>
    <w:p w14:paraId="2A039F51" w14:textId="77777777" w:rsidR="00C957E9" w:rsidRDefault="00C957E9" w:rsidP="00C957E9">
      <w:pPr>
        <w:pStyle w:val="BodyText"/>
        <w:spacing w:line="276" w:lineRule="auto"/>
        <w:ind w:firstLine="851"/>
        <w:jc w:val="both"/>
      </w:pPr>
      <w:r w:rsidRPr="00C67CA3">
        <w:t xml:space="preserve">Договорът не прехвърля върху ВиК Оператора правото на контрол върху генерираните ресурси от активите, нито предоставя стандартното право на ползване на публичните ВиК активи. Той осигурява право на достъп и експлоатация на публични активи, но за целево изпълнение с тях на обществена ВиК услуга. </w:t>
      </w:r>
    </w:p>
    <w:p w14:paraId="6803A6C9" w14:textId="77777777" w:rsidR="00D34D67" w:rsidRDefault="00C957E9" w:rsidP="00C957E9">
      <w:pPr>
        <w:pStyle w:val="BodyText"/>
        <w:spacing w:line="276" w:lineRule="auto"/>
        <w:ind w:firstLine="851"/>
        <w:jc w:val="both"/>
      </w:pPr>
      <w:r w:rsidRPr="00195D83">
        <w:t>Към 31.12.201</w:t>
      </w:r>
      <w:r>
        <w:t>9</w:t>
      </w:r>
      <w:r w:rsidRPr="00195D83">
        <w:t xml:space="preserve"> г. водопроводната мрежа, експлоатирана от „Водоснабдяване и канализация” ЕАД, Бургас е 4 </w:t>
      </w:r>
      <w:r w:rsidRPr="00195D83">
        <w:rPr>
          <w:lang w:val="en-US"/>
        </w:rPr>
        <w:t>2</w:t>
      </w:r>
      <w:r>
        <w:t>70,036</w:t>
      </w:r>
      <w:r w:rsidRPr="00195D83">
        <w:t xml:space="preserve"> хил. лин. м., от нея 2 </w:t>
      </w:r>
      <w:r>
        <w:t>159,424</w:t>
      </w:r>
      <w:r w:rsidRPr="00195D83">
        <w:t xml:space="preserve"> хил. лин.</w:t>
      </w:r>
      <w:r>
        <w:t xml:space="preserve"> </w:t>
      </w:r>
      <w:r w:rsidRPr="00195D83">
        <w:t>м или 5</w:t>
      </w:r>
      <w:r>
        <w:t>0</w:t>
      </w:r>
      <w:r w:rsidRPr="00195D83">
        <w:t>,</w:t>
      </w:r>
      <w:r>
        <w:t>57</w:t>
      </w:r>
      <w:r w:rsidRPr="00195D83">
        <w:t>% етернит. Продължава подмяната на етернитовите тръби с нови</w:t>
      </w:r>
      <w:r>
        <w:t>,</w:t>
      </w:r>
      <w:r w:rsidRPr="00195D83">
        <w:t xml:space="preserve"> произведени от по-високотехнологични  материали  като ПЕВП, чийто дял към 201</w:t>
      </w:r>
      <w:r>
        <w:t>9</w:t>
      </w:r>
      <w:r w:rsidRPr="00195D83">
        <w:t xml:space="preserve"> г. е 9</w:t>
      </w:r>
      <w:r>
        <w:t>93</w:t>
      </w:r>
      <w:r w:rsidRPr="00195D83">
        <w:t>,</w:t>
      </w:r>
      <w:r>
        <w:t>392</w:t>
      </w:r>
      <w:r>
        <w:rPr>
          <w:lang w:val="en-US"/>
        </w:rPr>
        <w:t xml:space="preserve"> </w:t>
      </w:r>
      <w:r w:rsidRPr="00195D83">
        <w:t>хил. лин. м.</w:t>
      </w:r>
    </w:p>
    <w:p w14:paraId="6F226E58" w14:textId="77777777" w:rsidR="00D34D67" w:rsidRDefault="00D34D67">
      <w:pPr>
        <w:widowControl/>
        <w:autoSpaceDE/>
        <w:autoSpaceDN/>
        <w:adjustRightInd/>
      </w:pPr>
      <w:r>
        <w:br w:type="page"/>
      </w:r>
    </w:p>
    <w:p w14:paraId="16F01371" w14:textId="77777777" w:rsidR="00B92D34" w:rsidRDefault="00B92D34" w:rsidP="00B92D34">
      <w:pPr>
        <w:widowControl/>
        <w:autoSpaceDE/>
        <w:autoSpaceDN/>
        <w:adjustRightInd/>
        <w:spacing w:before="240" w:after="240" w:line="276" w:lineRule="auto"/>
        <w:jc w:val="center"/>
        <w:rPr>
          <w:b/>
          <w:lang w:val="en-US"/>
        </w:rPr>
      </w:pPr>
      <w:r w:rsidRPr="00F72696">
        <w:rPr>
          <w:b/>
        </w:rPr>
        <w:lastRenderedPageBreak/>
        <w:t>ВОДОПРОВОДНА МРЕЖА КЪМ 31.12.201</w:t>
      </w:r>
      <w:r>
        <w:rPr>
          <w:b/>
          <w:lang w:val="en-GB"/>
        </w:rPr>
        <w:t>9</w:t>
      </w:r>
    </w:p>
    <w:tbl>
      <w:tblPr>
        <w:tblW w:w="9968" w:type="dxa"/>
        <w:tblInd w:w="55" w:type="dxa"/>
        <w:tblCellMar>
          <w:left w:w="70" w:type="dxa"/>
          <w:right w:w="70" w:type="dxa"/>
        </w:tblCellMar>
        <w:tblLook w:val="04A0" w:firstRow="1" w:lastRow="0" w:firstColumn="1" w:lastColumn="0" w:noHBand="0" w:noVBand="1"/>
      </w:tblPr>
      <w:tblGrid>
        <w:gridCol w:w="9968"/>
      </w:tblGrid>
      <w:tr w:rsidR="00DA622F" w:rsidRPr="00F72696" w14:paraId="0D979CEB" w14:textId="77777777" w:rsidTr="00D34D67">
        <w:trPr>
          <w:trHeight w:val="378"/>
        </w:trPr>
        <w:tc>
          <w:tcPr>
            <w:tcW w:w="9968" w:type="dxa"/>
            <w:tcBorders>
              <w:top w:val="nil"/>
              <w:left w:val="nil"/>
              <w:right w:val="nil"/>
            </w:tcBorders>
            <w:shd w:val="clear" w:color="auto" w:fill="auto"/>
            <w:noWrap/>
            <w:vAlign w:val="bottom"/>
            <w:hideMark/>
          </w:tcPr>
          <w:tbl>
            <w:tblPr>
              <w:tblW w:w="9016" w:type="dxa"/>
              <w:tblInd w:w="7" w:type="dxa"/>
              <w:tblCellMar>
                <w:left w:w="70" w:type="dxa"/>
                <w:right w:w="70" w:type="dxa"/>
              </w:tblCellMar>
              <w:tblLook w:val="04A0" w:firstRow="1" w:lastRow="0" w:firstColumn="1" w:lastColumn="0" w:noHBand="0" w:noVBand="1"/>
            </w:tblPr>
            <w:tblGrid>
              <w:gridCol w:w="2743"/>
              <w:gridCol w:w="1199"/>
              <w:gridCol w:w="889"/>
              <w:gridCol w:w="1202"/>
              <w:gridCol w:w="890"/>
              <w:gridCol w:w="1202"/>
              <w:gridCol w:w="891"/>
            </w:tblGrid>
            <w:tr w:rsidR="008C7B05" w:rsidRPr="008C7B05" w14:paraId="22B471A9" w14:textId="77777777" w:rsidTr="00D34D67">
              <w:trPr>
                <w:trHeight w:val="378"/>
              </w:trPr>
              <w:tc>
                <w:tcPr>
                  <w:tcW w:w="2743" w:type="dxa"/>
                  <w:tcBorders>
                    <w:top w:val="single" w:sz="8" w:space="0" w:color="auto"/>
                    <w:left w:val="single" w:sz="8" w:space="0" w:color="auto"/>
                    <w:bottom w:val="nil"/>
                    <w:right w:val="single" w:sz="4" w:space="0" w:color="auto"/>
                  </w:tcBorders>
                  <w:shd w:val="clear" w:color="auto" w:fill="auto"/>
                  <w:noWrap/>
                  <w:vAlign w:val="bottom"/>
                  <w:hideMark/>
                </w:tcPr>
                <w:p w14:paraId="13269811" w14:textId="77777777" w:rsidR="008C7B05" w:rsidRPr="008C7B05" w:rsidRDefault="008C7B05"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 </w:t>
                  </w:r>
                </w:p>
              </w:tc>
              <w:tc>
                <w:tcPr>
                  <w:tcW w:w="6272"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4AA478A0"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водопроводна мрежа</w:t>
                  </w:r>
                </w:p>
              </w:tc>
            </w:tr>
            <w:tr w:rsidR="008C7B05" w:rsidRPr="008C7B05" w14:paraId="03319376" w14:textId="77777777" w:rsidTr="00D34D67">
              <w:trPr>
                <w:trHeight w:val="378"/>
              </w:trPr>
              <w:tc>
                <w:tcPr>
                  <w:tcW w:w="2743" w:type="dxa"/>
                  <w:tcBorders>
                    <w:top w:val="nil"/>
                    <w:left w:val="single" w:sz="8" w:space="0" w:color="auto"/>
                    <w:bottom w:val="nil"/>
                    <w:right w:val="single" w:sz="4" w:space="0" w:color="auto"/>
                  </w:tcBorders>
                  <w:shd w:val="clear" w:color="auto" w:fill="auto"/>
                  <w:noWrap/>
                  <w:vAlign w:val="bottom"/>
                  <w:hideMark/>
                </w:tcPr>
                <w:p w14:paraId="7F792A92"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вид материал</w:t>
                  </w:r>
                </w:p>
              </w:tc>
              <w:tc>
                <w:tcPr>
                  <w:tcW w:w="2088" w:type="dxa"/>
                  <w:gridSpan w:val="2"/>
                  <w:tcBorders>
                    <w:top w:val="nil"/>
                    <w:left w:val="nil"/>
                    <w:bottom w:val="single" w:sz="4" w:space="0" w:color="auto"/>
                    <w:right w:val="single" w:sz="4" w:space="0" w:color="000000"/>
                  </w:tcBorders>
                  <w:shd w:val="clear" w:color="auto" w:fill="auto"/>
                  <w:noWrap/>
                  <w:vAlign w:val="bottom"/>
                  <w:hideMark/>
                </w:tcPr>
                <w:p w14:paraId="66631C7F"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външна</w:t>
                  </w:r>
                </w:p>
              </w:tc>
              <w:tc>
                <w:tcPr>
                  <w:tcW w:w="2092" w:type="dxa"/>
                  <w:gridSpan w:val="2"/>
                  <w:tcBorders>
                    <w:top w:val="nil"/>
                    <w:left w:val="nil"/>
                    <w:bottom w:val="single" w:sz="4" w:space="0" w:color="auto"/>
                    <w:right w:val="single" w:sz="4" w:space="0" w:color="000000"/>
                  </w:tcBorders>
                  <w:shd w:val="clear" w:color="auto" w:fill="auto"/>
                  <w:noWrap/>
                  <w:vAlign w:val="bottom"/>
                  <w:hideMark/>
                </w:tcPr>
                <w:p w14:paraId="03491EEA"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 xml:space="preserve">вътрешна </w:t>
                  </w:r>
                </w:p>
              </w:tc>
              <w:tc>
                <w:tcPr>
                  <w:tcW w:w="209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733A444"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всичко</w:t>
                  </w:r>
                </w:p>
              </w:tc>
            </w:tr>
            <w:tr w:rsidR="008C7B05" w:rsidRPr="008C7B05" w14:paraId="02118370" w14:textId="77777777" w:rsidTr="00D34D67">
              <w:trPr>
                <w:trHeight w:val="397"/>
              </w:trPr>
              <w:tc>
                <w:tcPr>
                  <w:tcW w:w="2743" w:type="dxa"/>
                  <w:tcBorders>
                    <w:top w:val="nil"/>
                    <w:left w:val="single" w:sz="8" w:space="0" w:color="auto"/>
                    <w:bottom w:val="nil"/>
                    <w:right w:val="single" w:sz="4" w:space="0" w:color="auto"/>
                  </w:tcBorders>
                  <w:shd w:val="clear" w:color="auto" w:fill="auto"/>
                  <w:noWrap/>
                  <w:vAlign w:val="bottom"/>
                  <w:hideMark/>
                </w:tcPr>
                <w:p w14:paraId="1FF2B650" w14:textId="77777777" w:rsidR="008C7B05" w:rsidRPr="008C7B05" w:rsidRDefault="008C7B05"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 </w:t>
                  </w:r>
                </w:p>
              </w:tc>
              <w:tc>
                <w:tcPr>
                  <w:tcW w:w="1199" w:type="dxa"/>
                  <w:tcBorders>
                    <w:top w:val="nil"/>
                    <w:left w:val="nil"/>
                    <w:bottom w:val="nil"/>
                    <w:right w:val="single" w:sz="4" w:space="0" w:color="auto"/>
                  </w:tcBorders>
                  <w:shd w:val="clear" w:color="auto" w:fill="auto"/>
                  <w:noWrap/>
                  <w:vAlign w:val="bottom"/>
                  <w:hideMark/>
                </w:tcPr>
                <w:p w14:paraId="3D48E77E"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км</w:t>
                  </w:r>
                </w:p>
              </w:tc>
              <w:tc>
                <w:tcPr>
                  <w:tcW w:w="889" w:type="dxa"/>
                  <w:tcBorders>
                    <w:top w:val="nil"/>
                    <w:left w:val="nil"/>
                    <w:bottom w:val="nil"/>
                    <w:right w:val="single" w:sz="4" w:space="0" w:color="auto"/>
                  </w:tcBorders>
                  <w:shd w:val="clear" w:color="auto" w:fill="auto"/>
                  <w:noWrap/>
                  <w:vAlign w:val="bottom"/>
                  <w:hideMark/>
                </w:tcPr>
                <w:p w14:paraId="30E5A1BE"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w:t>
                  </w:r>
                </w:p>
              </w:tc>
              <w:tc>
                <w:tcPr>
                  <w:tcW w:w="1202" w:type="dxa"/>
                  <w:tcBorders>
                    <w:top w:val="nil"/>
                    <w:left w:val="nil"/>
                    <w:bottom w:val="nil"/>
                    <w:right w:val="single" w:sz="4" w:space="0" w:color="auto"/>
                  </w:tcBorders>
                  <w:shd w:val="clear" w:color="auto" w:fill="auto"/>
                  <w:noWrap/>
                  <w:vAlign w:val="bottom"/>
                  <w:hideMark/>
                </w:tcPr>
                <w:p w14:paraId="747ACF1C"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км</w:t>
                  </w:r>
                </w:p>
              </w:tc>
              <w:tc>
                <w:tcPr>
                  <w:tcW w:w="890" w:type="dxa"/>
                  <w:tcBorders>
                    <w:top w:val="nil"/>
                    <w:left w:val="nil"/>
                    <w:bottom w:val="nil"/>
                    <w:right w:val="single" w:sz="4" w:space="0" w:color="auto"/>
                  </w:tcBorders>
                  <w:shd w:val="clear" w:color="auto" w:fill="auto"/>
                  <w:noWrap/>
                  <w:vAlign w:val="bottom"/>
                  <w:hideMark/>
                </w:tcPr>
                <w:p w14:paraId="26686441"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w:t>
                  </w:r>
                </w:p>
              </w:tc>
              <w:tc>
                <w:tcPr>
                  <w:tcW w:w="1202" w:type="dxa"/>
                  <w:tcBorders>
                    <w:top w:val="nil"/>
                    <w:left w:val="nil"/>
                    <w:bottom w:val="nil"/>
                    <w:right w:val="single" w:sz="4" w:space="0" w:color="auto"/>
                  </w:tcBorders>
                  <w:shd w:val="clear" w:color="auto" w:fill="auto"/>
                  <w:noWrap/>
                  <w:vAlign w:val="bottom"/>
                  <w:hideMark/>
                </w:tcPr>
                <w:p w14:paraId="0DDAC77D"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км</w:t>
                  </w:r>
                </w:p>
              </w:tc>
              <w:tc>
                <w:tcPr>
                  <w:tcW w:w="891" w:type="dxa"/>
                  <w:tcBorders>
                    <w:top w:val="nil"/>
                    <w:left w:val="nil"/>
                    <w:bottom w:val="nil"/>
                    <w:right w:val="single" w:sz="8" w:space="0" w:color="auto"/>
                  </w:tcBorders>
                  <w:shd w:val="clear" w:color="auto" w:fill="auto"/>
                  <w:noWrap/>
                  <w:vAlign w:val="bottom"/>
                  <w:hideMark/>
                </w:tcPr>
                <w:p w14:paraId="1D23D0E4" w14:textId="77777777" w:rsidR="008C7B05" w:rsidRPr="008C7B05" w:rsidRDefault="008C7B05" w:rsidP="00891C26">
                  <w:pPr>
                    <w:widowControl/>
                    <w:autoSpaceDE/>
                    <w:autoSpaceDN/>
                    <w:adjustRightInd/>
                    <w:spacing w:line="276" w:lineRule="auto"/>
                    <w:jc w:val="center"/>
                    <w:rPr>
                      <w:rFonts w:ascii="Calibri" w:hAnsi="Calibri" w:cs="Calibri"/>
                      <w:color w:val="000000"/>
                      <w:sz w:val="22"/>
                      <w:szCs w:val="22"/>
                    </w:rPr>
                  </w:pPr>
                  <w:r w:rsidRPr="008C7B05">
                    <w:rPr>
                      <w:rFonts w:ascii="Calibri" w:hAnsi="Calibri" w:cs="Calibri"/>
                      <w:color w:val="000000"/>
                      <w:sz w:val="22"/>
                      <w:szCs w:val="22"/>
                    </w:rPr>
                    <w:t>%</w:t>
                  </w:r>
                </w:p>
              </w:tc>
            </w:tr>
            <w:tr w:rsidR="008C7B05" w:rsidRPr="008C7B05" w14:paraId="642852BE" w14:textId="77777777" w:rsidTr="00D34D67">
              <w:trPr>
                <w:trHeight w:val="378"/>
              </w:trPr>
              <w:tc>
                <w:tcPr>
                  <w:tcW w:w="27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EC1389" w14:textId="2857505F" w:rsidR="008C7B05" w:rsidRPr="008C7B05" w:rsidRDefault="00F8170A"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Е</w:t>
                  </w:r>
                  <w:r w:rsidR="008C7B05" w:rsidRPr="008C7B05">
                    <w:rPr>
                      <w:rFonts w:ascii="Calibri" w:hAnsi="Calibri" w:cs="Calibri"/>
                      <w:color w:val="000000"/>
                      <w:sz w:val="22"/>
                      <w:szCs w:val="22"/>
                    </w:rPr>
                    <w:t>тернит</w:t>
                  </w:r>
                </w:p>
              </w:tc>
              <w:tc>
                <w:tcPr>
                  <w:tcW w:w="1199" w:type="dxa"/>
                  <w:tcBorders>
                    <w:top w:val="single" w:sz="8" w:space="0" w:color="auto"/>
                    <w:left w:val="nil"/>
                    <w:bottom w:val="single" w:sz="4" w:space="0" w:color="auto"/>
                    <w:right w:val="single" w:sz="4" w:space="0" w:color="auto"/>
                  </w:tcBorders>
                  <w:shd w:val="clear" w:color="auto" w:fill="auto"/>
                  <w:noWrap/>
                  <w:vAlign w:val="bottom"/>
                  <w:hideMark/>
                </w:tcPr>
                <w:p w14:paraId="1FB6634A"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724.87</w:t>
                  </w:r>
                </w:p>
              </w:tc>
              <w:tc>
                <w:tcPr>
                  <w:tcW w:w="889" w:type="dxa"/>
                  <w:tcBorders>
                    <w:top w:val="single" w:sz="8" w:space="0" w:color="auto"/>
                    <w:left w:val="nil"/>
                    <w:bottom w:val="single" w:sz="4" w:space="0" w:color="auto"/>
                    <w:right w:val="single" w:sz="4" w:space="0" w:color="auto"/>
                  </w:tcBorders>
                  <w:shd w:val="clear" w:color="auto" w:fill="auto"/>
                  <w:noWrap/>
                  <w:vAlign w:val="bottom"/>
                  <w:hideMark/>
                </w:tcPr>
                <w:p w14:paraId="330BC34F"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43.56</w:t>
                  </w:r>
                </w:p>
              </w:tc>
              <w:tc>
                <w:tcPr>
                  <w:tcW w:w="1202" w:type="dxa"/>
                  <w:tcBorders>
                    <w:top w:val="single" w:sz="8" w:space="0" w:color="auto"/>
                    <w:left w:val="nil"/>
                    <w:bottom w:val="single" w:sz="4" w:space="0" w:color="auto"/>
                    <w:right w:val="single" w:sz="4" w:space="0" w:color="auto"/>
                  </w:tcBorders>
                  <w:shd w:val="clear" w:color="auto" w:fill="auto"/>
                  <w:noWrap/>
                  <w:vAlign w:val="bottom"/>
                  <w:hideMark/>
                </w:tcPr>
                <w:p w14:paraId="655074BB"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1434.554</w:t>
                  </w:r>
                </w:p>
              </w:tc>
              <w:tc>
                <w:tcPr>
                  <w:tcW w:w="890" w:type="dxa"/>
                  <w:tcBorders>
                    <w:top w:val="single" w:sz="8" w:space="0" w:color="auto"/>
                    <w:left w:val="nil"/>
                    <w:bottom w:val="single" w:sz="4" w:space="0" w:color="auto"/>
                    <w:right w:val="single" w:sz="4" w:space="0" w:color="auto"/>
                  </w:tcBorders>
                  <w:shd w:val="clear" w:color="auto" w:fill="auto"/>
                  <w:noWrap/>
                  <w:vAlign w:val="bottom"/>
                  <w:hideMark/>
                </w:tcPr>
                <w:p w14:paraId="5A9B0B44"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55.05</w:t>
                  </w:r>
                </w:p>
              </w:tc>
              <w:tc>
                <w:tcPr>
                  <w:tcW w:w="1202" w:type="dxa"/>
                  <w:tcBorders>
                    <w:top w:val="single" w:sz="8" w:space="0" w:color="auto"/>
                    <w:left w:val="nil"/>
                    <w:bottom w:val="single" w:sz="4" w:space="0" w:color="auto"/>
                    <w:right w:val="single" w:sz="4" w:space="0" w:color="auto"/>
                  </w:tcBorders>
                  <w:shd w:val="clear" w:color="auto" w:fill="auto"/>
                  <w:noWrap/>
                  <w:vAlign w:val="bottom"/>
                  <w:hideMark/>
                </w:tcPr>
                <w:p w14:paraId="090C07AC"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2159.424</w:t>
                  </w:r>
                </w:p>
              </w:tc>
              <w:tc>
                <w:tcPr>
                  <w:tcW w:w="891" w:type="dxa"/>
                  <w:tcBorders>
                    <w:top w:val="single" w:sz="8" w:space="0" w:color="auto"/>
                    <w:left w:val="nil"/>
                    <w:bottom w:val="single" w:sz="4" w:space="0" w:color="auto"/>
                    <w:right w:val="single" w:sz="8" w:space="0" w:color="auto"/>
                  </w:tcBorders>
                  <w:shd w:val="clear" w:color="auto" w:fill="auto"/>
                  <w:noWrap/>
                  <w:vAlign w:val="bottom"/>
                  <w:hideMark/>
                </w:tcPr>
                <w:p w14:paraId="2D8F0E67"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50.57</w:t>
                  </w:r>
                </w:p>
              </w:tc>
            </w:tr>
            <w:tr w:rsidR="008C7B05" w:rsidRPr="008C7B05" w14:paraId="43F2FA82" w14:textId="77777777" w:rsidTr="00D34D67">
              <w:trPr>
                <w:trHeight w:val="378"/>
              </w:trPr>
              <w:tc>
                <w:tcPr>
                  <w:tcW w:w="2743" w:type="dxa"/>
                  <w:tcBorders>
                    <w:top w:val="nil"/>
                    <w:left w:val="single" w:sz="8" w:space="0" w:color="auto"/>
                    <w:bottom w:val="single" w:sz="4" w:space="0" w:color="auto"/>
                    <w:right w:val="single" w:sz="4" w:space="0" w:color="auto"/>
                  </w:tcBorders>
                  <w:shd w:val="clear" w:color="auto" w:fill="auto"/>
                  <w:noWrap/>
                  <w:vAlign w:val="bottom"/>
                  <w:hideMark/>
                </w:tcPr>
                <w:p w14:paraId="79FB2E3E" w14:textId="77777777" w:rsidR="008C7B05" w:rsidRPr="008C7B05" w:rsidRDefault="008C7B05"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 xml:space="preserve">стомана </w:t>
                  </w:r>
                </w:p>
              </w:tc>
              <w:tc>
                <w:tcPr>
                  <w:tcW w:w="1199" w:type="dxa"/>
                  <w:tcBorders>
                    <w:top w:val="nil"/>
                    <w:left w:val="nil"/>
                    <w:bottom w:val="single" w:sz="4" w:space="0" w:color="auto"/>
                    <w:right w:val="single" w:sz="4" w:space="0" w:color="auto"/>
                  </w:tcBorders>
                  <w:shd w:val="clear" w:color="auto" w:fill="auto"/>
                  <w:noWrap/>
                  <w:vAlign w:val="bottom"/>
                  <w:hideMark/>
                </w:tcPr>
                <w:p w14:paraId="3429FDF4"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600.1</w:t>
                  </w:r>
                </w:p>
              </w:tc>
              <w:tc>
                <w:tcPr>
                  <w:tcW w:w="889" w:type="dxa"/>
                  <w:tcBorders>
                    <w:top w:val="nil"/>
                    <w:left w:val="nil"/>
                    <w:bottom w:val="single" w:sz="4" w:space="0" w:color="auto"/>
                    <w:right w:val="single" w:sz="4" w:space="0" w:color="auto"/>
                  </w:tcBorders>
                  <w:shd w:val="clear" w:color="auto" w:fill="auto"/>
                  <w:noWrap/>
                  <w:vAlign w:val="bottom"/>
                  <w:hideMark/>
                </w:tcPr>
                <w:p w14:paraId="4A00562D"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36.06</w:t>
                  </w:r>
                </w:p>
              </w:tc>
              <w:tc>
                <w:tcPr>
                  <w:tcW w:w="1202" w:type="dxa"/>
                  <w:tcBorders>
                    <w:top w:val="nil"/>
                    <w:left w:val="nil"/>
                    <w:bottom w:val="single" w:sz="4" w:space="0" w:color="auto"/>
                    <w:right w:val="single" w:sz="4" w:space="0" w:color="auto"/>
                  </w:tcBorders>
                  <w:shd w:val="clear" w:color="auto" w:fill="auto"/>
                  <w:noWrap/>
                  <w:vAlign w:val="bottom"/>
                  <w:hideMark/>
                </w:tcPr>
                <w:p w14:paraId="09F6E2B4"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280.76</w:t>
                  </w:r>
                </w:p>
              </w:tc>
              <w:tc>
                <w:tcPr>
                  <w:tcW w:w="890" w:type="dxa"/>
                  <w:tcBorders>
                    <w:top w:val="nil"/>
                    <w:left w:val="nil"/>
                    <w:bottom w:val="single" w:sz="4" w:space="0" w:color="auto"/>
                    <w:right w:val="single" w:sz="4" w:space="0" w:color="auto"/>
                  </w:tcBorders>
                  <w:shd w:val="clear" w:color="auto" w:fill="auto"/>
                  <w:noWrap/>
                  <w:vAlign w:val="bottom"/>
                  <w:hideMark/>
                </w:tcPr>
                <w:p w14:paraId="5F63CB83"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10.77</w:t>
                  </w:r>
                </w:p>
              </w:tc>
              <w:tc>
                <w:tcPr>
                  <w:tcW w:w="1202" w:type="dxa"/>
                  <w:tcBorders>
                    <w:top w:val="nil"/>
                    <w:left w:val="nil"/>
                    <w:bottom w:val="single" w:sz="4" w:space="0" w:color="auto"/>
                    <w:right w:val="single" w:sz="4" w:space="0" w:color="auto"/>
                  </w:tcBorders>
                  <w:shd w:val="clear" w:color="auto" w:fill="auto"/>
                  <w:noWrap/>
                  <w:vAlign w:val="bottom"/>
                  <w:hideMark/>
                </w:tcPr>
                <w:p w14:paraId="12833C4E"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880.86</w:t>
                  </w:r>
                </w:p>
              </w:tc>
              <w:tc>
                <w:tcPr>
                  <w:tcW w:w="891" w:type="dxa"/>
                  <w:tcBorders>
                    <w:top w:val="nil"/>
                    <w:left w:val="nil"/>
                    <w:bottom w:val="single" w:sz="4" w:space="0" w:color="auto"/>
                    <w:right w:val="single" w:sz="8" w:space="0" w:color="auto"/>
                  </w:tcBorders>
                  <w:shd w:val="clear" w:color="auto" w:fill="auto"/>
                  <w:noWrap/>
                  <w:vAlign w:val="bottom"/>
                  <w:hideMark/>
                </w:tcPr>
                <w:p w14:paraId="4FAD3C66"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20.63</w:t>
                  </w:r>
                </w:p>
              </w:tc>
            </w:tr>
            <w:tr w:rsidR="008C7B05" w:rsidRPr="008C7B05" w14:paraId="2C405D1C" w14:textId="77777777" w:rsidTr="00D34D67">
              <w:trPr>
                <w:trHeight w:val="378"/>
              </w:trPr>
              <w:tc>
                <w:tcPr>
                  <w:tcW w:w="2743" w:type="dxa"/>
                  <w:tcBorders>
                    <w:top w:val="nil"/>
                    <w:left w:val="single" w:sz="8" w:space="0" w:color="auto"/>
                    <w:bottom w:val="single" w:sz="4" w:space="0" w:color="auto"/>
                    <w:right w:val="single" w:sz="4" w:space="0" w:color="auto"/>
                  </w:tcBorders>
                  <w:shd w:val="clear" w:color="auto" w:fill="auto"/>
                  <w:noWrap/>
                  <w:vAlign w:val="bottom"/>
                  <w:hideMark/>
                </w:tcPr>
                <w:p w14:paraId="5B8124D1" w14:textId="485AE454" w:rsidR="008C7B05" w:rsidRPr="008C7B05" w:rsidRDefault="00F8170A"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Ч</w:t>
                  </w:r>
                  <w:r w:rsidR="008C7B05" w:rsidRPr="008C7B05">
                    <w:rPr>
                      <w:rFonts w:ascii="Calibri" w:hAnsi="Calibri" w:cs="Calibri"/>
                      <w:color w:val="000000"/>
                      <w:sz w:val="22"/>
                      <w:szCs w:val="22"/>
                    </w:rPr>
                    <w:t>угун</w:t>
                  </w:r>
                </w:p>
              </w:tc>
              <w:tc>
                <w:tcPr>
                  <w:tcW w:w="1199" w:type="dxa"/>
                  <w:tcBorders>
                    <w:top w:val="nil"/>
                    <w:left w:val="nil"/>
                    <w:bottom w:val="single" w:sz="4" w:space="0" w:color="auto"/>
                    <w:right w:val="single" w:sz="4" w:space="0" w:color="auto"/>
                  </w:tcBorders>
                  <w:shd w:val="clear" w:color="auto" w:fill="auto"/>
                  <w:noWrap/>
                  <w:vAlign w:val="bottom"/>
                  <w:hideMark/>
                </w:tcPr>
                <w:p w14:paraId="046E4CBB"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48</w:t>
                  </w:r>
                </w:p>
              </w:tc>
              <w:tc>
                <w:tcPr>
                  <w:tcW w:w="889" w:type="dxa"/>
                  <w:tcBorders>
                    <w:top w:val="nil"/>
                    <w:left w:val="nil"/>
                    <w:bottom w:val="single" w:sz="4" w:space="0" w:color="auto"/>
                    <w:right w:val="single" w:sz="4" w:space="0" w:color="auto"/>
                  </w:tcBorders>
                  <w:shd w:val="clear" w:color="auto" w:fill="auto"/>
                  <w:noWrap/>
                  <w:vAlign w:val="bottom"/>
                  <w:hideMark/>
                </w:tcPr>
                <w:p w14:paraId="16825D81"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2.88</w:t>
                  </w:r>
                </w:p>
              </w:tc>
              <w:tc>
                <w:tcPr>
                  <w:tcW w:w="1202" w:type="dxa"/>
                  <w:tcBorders>
                    <w:top w:val="nil"/>
                    <w:left w:val="nil"/>
                    <w:bottom w:val="single" w:sz="4" w:space="0" w:color="auto"/>
                    <w:right w:val="single" w:sz="4" w:space="0" w:color="auto"/>
                  </w:tcBorders>
                  <w:shd w:val="clear" w:color="auto" w:fill="auto"/>
                  <w:noWrap/>
                  <w:vAlign w:val="bottom"/>
                  <w:hideMark/>
                </w:tcPr>
                <w:p w14:paraId="2249E0DA"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62.6</w:t>
                  </w:r>
                </w:p>
              </w:tc>
              <w:tc>
                <w:tcPr>
                  <w:tcW w:w="890" w:type="dxa"/>
                  <w:tcBorders>
                    <w:top w:val="nil"/>
                    <w:left w:val="nil"/>
                    <w:bottom w:val="single" w:sz="4" w:space="0" w:color="auto"/>
                    <w:right w:val="single" w:sz="4" w:space="0" w:color="auto"/>
                  </w:tcBorders>
                  <w:shd w:val="clear" w:color="auto" w:fill="auto"/>
                  <w:noWrap/>
                  <w:vAlign w:val="bottom"/>
                  <w:hideMark/>
                </w:tcPr>
                <w:p w14:paraId="0743CD83"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2.40</w:t>
                  </w:r>
                </w:p>
              </w:tc>
              <w:tc>
                <w:tcPr>
                  <w:tcW w:w="1202" w:type="dxa"/>
                  <w:tcBorders>
                    <w:top w:val="nil"/>
                    <w:left w:val="nil"/>
                    <w:bottom w:val="single" w:sz="4" w:space="0" w:color="auto"/>
                    <w:right w:val="single" w:sz="4" w:space="0" w:color="auto"/>
                  </w:tcBorders>
                  <w:shd w:val="clear" w:color="auto" w:fill="auto"/>
                  <w:noWrap/>
                  <w:vAlign w:val="bottom"/>
                  <w:hideMark/>
                </w:tcPr>
                <w:p w14:paraId="4F2FC48D" w14:textId="77777777" w:rsidR="008C7B05" w:rsidRPr="008C7B05" w:rsidRDefault="008C7B05" w:rsidP="00891C26">
                  <w:pPr>
                    <w:widowControl/>
                    <w:autoSpaceDE/>
                    <w:autoSpaceDN/>
                    <w:adjustRightInd/>
                    <w:spacing w:line="276" w:lineRule="auto"/>
                    <w:jc w:val="right"/>
                    <w:rPr>
                      <w:rFonts w:ascii="Arial" w:hAnsi="Arial" w:cs="Arial"/>
                      <w:sz w:val="20"/>
                      <w:szCs w:val="20"/>
                    </w:rPr>
                  </w:pPr>
                  <w:r w:rsidRPr="008C7B05">
                    <w:rPr>
                      <w:rFonts w:ascii="Arial" w:hAnsi="Arial" w:cs="Arial"/>
                      <w:sz w:val="20"/>
                      <w:szCs w:val="20"/>
                    </w:rPr>
                    <w:t>110.6</w:t>
                  </w:r>
                </w:p>
              </w:tc>
              <w:tc>
                <w:tcPr>
                  <w:tcW w:w="891" w:type="dxa"/>
                  <w:tcBorders>
                    <w:top w:val="nil"/>
                    <w:left w:val="nil"/>
                    <w:bottom w:val="single" w:sz="4" w:space="0" w:color="auto"/>
                    <w:right w:val="single" w:sz="8" w:space="0" w:color="auto"/>
                  </w:tcBorders>
                  <w:shd w:val="clear" w:color="auto" w:fill="auto"/>
                  <w:noWrap/>
                  <w:vAlign w:val="bottom"/>
                  <w:hideMark/>
                </w:tcPr>
                <w:p w14:paraId="76942445"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2.59</w:t>
                  </w:r>
                </w:p>
              </w:tc>
            </w:tr>
            <w:tr w:rsidR="008C7B05" w:rsidRPr="008C7B05" w14:paraId="5C9724E0" w14:textId="77777777" w:rsidTr="00D34D67">
              <w:trPr>
                <w:trHeight w:val="378"/>
              </w:trPr>
              <w:tc>
                <w:tcPr>
                  <w:tcW w:w="2743" w:type="dxa"/>
                  <w:tcBorders>
                    <w:top w:val="nil"/>
                    <w:left w:val="single" w:sz="8" w:space="0" w:color="auto"/>
                    <w:bottom w:val="single" w:sz="4" w:space="0" w:color="auto"/>
                    <w:right w:val="single" w:sz="4" w:space="0" w:color="auto"/>
                  </w:tcBorders>
                  <w:shd w:val="clear" w:color="auto" w:fill="auto"/>
                  <w:noWrap/>
                  <w:vAlign w:val="bottom"/>
                  <w:hideMark/>
                </w:tcPr>
                <w:p w14:paraId="3C40C055" w14:textId="77777777" w:rsidR="008C7B05" w:rsidRPr="008C7B05" w:rsidRDefault="008C7B05"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ПЕВП</w:t>
                  </w:r>
                </w:p>
              </w:tc>
              <w:tc>
                <w:tcPr>
                  <w:tcW w:w="1199" w:type="dxa"/>
                  <w:tcBorders>
                    <w:top w:val="nil"/>
                    <w:left w:val="nil"/>
                    <w:bottom w:val="single" w:sz="4" w:space="0" w:color="auto"/>
                    <w:right w:val="single" w:sz="4" w:space="0" w:color="auto"/>
                  </w:tcBorders>
                  <w:shd w:val="clear" w:color="auto" w:fill="auto"/>
                  <w:noWrap/>
                  <w:vAlign w:val="bottom"/>
                  <w:hideMark/>
                </w:tcPr>
                <w:p w14:paraId="1B1F4975"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196.476</w:t>
                  </w:r>
                </w:p>
              </w:tc>
              <w:tc>
                <w:tcPr>
                  <w:tcW w:w="889" w:type="dxa"/>
                  <w:tcBorders>
                    <w:top w:val="nil"/>
                    <w:left w:val="nil"/>
                    <w:bottom w:val="single" w:sz="4" w:space="0" w:color="auto"/>
                    <w:right w:val="single" w:sz="4" w:space="0" w:color="auto"/>
                  </w:tcBorders>
                  <w:shd w:val="clear" w:color="auto" w:fill="auto"/>
                  <w:noWrap/>
                  <w:vAlign w:val="bottom"/>
                  <w:hideMark/>
                </w:tcPr>
                <w:p w14:paraId="1A51D969"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11.81</w:t>
                  </w:r>
                </w:p>
              </w:tc>
              <w:tc>
                <w:tcPr>
                  <w:tcW w:w="1202" w:type="dxa"/>
                  <w:tcBorders>
                    <w:top w:val="nil"/>
                    <w:left w:val="nil"/>
                    <w:bottom w:val="single" w:sz="4" w:space="0" w:color="auto"/>
                    <w:right w:val="single" w:sz="4" w:space="0" w:color="auto"/>
                  </w:tcBorders>
                  <w:shd w:val="clear" w:color="auto" w:fill="auto"/>
                  <w:noWrap/>
                  <w:vAlign w:val="bottom"/>
                  <w:hideMark/>
                </w:tcPr>
                <w:p w14:paraId="510E44B2"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796.916</w:t>
                  </w:r>
                </w:p>
              </w:tc>
              <w:tc>
                <w:tcPr>
                  <w:tcW w:w="890" w:type="dxa"/>
                  <w:tcBorders>
                    <w:top w:val="nil"/>
                    <w:left w:val="nil"/>
                    <w:bottom w:val="single" w:sz="4" w:space="0" w:color="auto"/>
                    <w:right w:val="single" w:sz="4" w:space="0" w:color="auto"/>
                  </w:tcBorders>
                  <w:shd w:val="clear" w:color="auto" w:fill="auto"/>
                  <w:noWrap/>
                  <w:vAlign w:val="bottom"/>
                  <w:hideMark/>
                </w:tcPr>
                <w:p w14:paraId="2B6E394E"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30.58</w:t>
                  </w:r>
                </w:p>
              </w:tc>
              <w:tc>
                <w:tcPr>
                  <w:tcW w:w="1202" w:type="dxa"/>
                  <w:tcBorders>
                    <w:top w:val="nil"/>
                    <w:left w:val="nil"/>
                    <w:bottom w:val="single" w:sz="4" w:space="0" w:color="auto"/>
                    <w:right w:val="single" w:sz="4" w:space="0" w:color="auto"/>
                  </w:tcBorders>
                  <w:shd w:val="clear" w:color="auto" w:fill="auto"/>
                  <w:noWrap/>
                  <w:vAlign w:val="bottom"/>
                  <w:hideMark/>
                </w:tcPr>
                <w:p w14:paraId="3E993A9B" w14:textId="77777777" w:rsidR="008C7B05" w:rsidRPr="008C7B05" w:rsidRDefault="008C7B05" w:rsidP="00891C26">
                  <w:pPr>
                    <w:widowControl/>
                    <w:autoSpaceDE/>
                    <w:autoSpaceDN/>
                    <w:adjustRightInd/>
                    <w:spacing w:line="276" w:lineRule="auto"/>
                    <w:jc w:val="right"/>
                    <w:rPr>
                      <w:rFonts w:ascii="Arial" w:hAnsi="Arial" w:cs="Arial"/>
                      <w:sz w:val="20"/>
                      <w:szCs w:val="20"/>
                    </w:rPr>
                  </w:pPr>
                  <w:r w:rsidRPr="008C7B05">
                    <w:rPr>
                      <w:rFonts w:ascii="Arial" w:hAnsi="Arial" w:cs="Arial"/>
                      <w:sz w:val="20"/>
                      <w:szCs w:val="20"/>
                    </w:rPr>
                    <w:t>993.392</w:t>
                  </w:r>
                </w:p>
              </w:tc>
              <w:tc>
                <w:tcPr>
                  <w:tcW w:w="891" w:type="dxa"/>
                  <w:tcBorders>
                    <w:top w:val="nil"/>
                    <w:left w:val="nil"/>
                    <w:bottom w:val="single" w:sz="4" w:space="0" w:color="auto"/>
                    <w:right w:val="single" w:sz="8" w:space="0" w:color="auto"/>
                  </w:tcBorders>
                  <w:shd w:val="clear" w:color="auto" w:fill="auto"/>
                  <w:noWrap/>
                  <w:vAlign w:val="bottom"/>
                  <w:hideMark/>
                </w:tcPr>
                <w:p w14:paraId="176A1AE9"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23.26</w:t>
                  </w:r>
                </w:p>
              </w:tc>
            </w:tr>
            <w:tr w:rsidR="008C7B05" w:rsidRPr="008C7B05" w14:paraId="56F1B5EB" w14:textId="77777777" w:rsidTr="00D34D67">
              <w:trPr>
                <w:trHeight w:val="378"/>
              </w:trPr>
              <w:tc>
                <w:tcPr>
                  <w:tcW w:w="2743" w:type="dxa"/>
                  <w:tcBorders>
                    <w:top w:val="nil"/>
                    <w:left w:val="single" w:sz="8" w:space="0" w:color="auto"/>
                    <w:bottom w:val="single" w:sz="4" w:space="0" w:color="auto"/>
                    <w:right w:val="single" w:sz="4" w:space="0" w:color="auto"/>
                  </w:tcBorders>
                  <w:shd w:val="clear" w:color="auto" w:fill="auto"/>
                  <w:noWrap/>
                  <w:vAlign w:val="bottom"/>
                  <w:hideMark/>
                </w:tcPr>
                <w:p w14:paraId="2D6E831D" w14:textId="77777777" w:rsidR="008C7B05" w:rsidRPr="008C7B05" w:rsidRDefault="008C7B05"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PVC</w:t>
                  </w:r>
                </w:p>
              </w:tc>
              <w:tc>
                <w:tcPr>
                  <w:tcW w:w="1199" w:type="dxa"/>
                  <w:tcBorders>
                    <w:top w:val="nil"/>
                    <w:left w:val="nil"/>
                    <w:bottom w:val="single" w:sz="4" w:space="0" w:color="auto"/>
                    <w:right w:val="single" w:sz="4" w:space="0" w:color="auto"/>
                  </w:tcBorders>
                  <w:shd w:val="clear" w:color="auto" w:fill="auto"/>
                  <w:noWrap/>
                  <w:vAlign w:val="bottom"/>
                  <w:hideMark/>
                </w:tcPr>
                <w:p w14:paraId="03A8ABEE"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1</w:t>
                  </w:r>
                </w:p>
              </w:tc>
              <w:tc>
                <w:tcPr>
                  <w:tcW w:w="889" w:type="dxa"/>
                  <w:tcBorders>
                    <w:top w:val="nil"/>
                    <w:left w:val="nil"/>
                    <w:bottom w:val="single" w:sz="4" w:space="0" w:color="auto"/>
                    <w:right w:val="single" w:sz="4" w:space="0" w:color="auto"/>
                  </w:tcBorders>
                  <w:shd w:val="clear" w:color="auto" w:fill="auto"/>
                  <w:noWrap/>
                  <w:vAlign w:val="bottom"/>
                  <w:hideMark/>
                </w:tcPr>
                <w:p w14:paraId="78D88C5E"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0.06</w:t>
                  </w:r>
                </w:p>
              </w:tc>
              <w:tc>
                <w:tcPr>
                  <w:tcW w:w="1202" w:type="dxa"/>
                  <w:tcBorders>
                    <w:top w:val="nil"/>
                    <w:left w:val="nil"/>
                    <w:bottom w:val="single" w:sz="4" w:space="0" w:color="auto"/>
                    <w:right w:val="single" w:sz="4" w:space="0" w:color="auto"/>
                  </w:tcBorders>
                  <w:shd w:val="clear" w:color="auto" w:fill="auto"/>
                  <w:noWrap/>
                  <w:vAlign w:val="bottom"/>
                  <w:hideMark/>
                </w:tcPr>
                <w:p w14:paraId="268DFA38"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1</w:t>
                  </w:r>
                </w:p>
              </w:tc>
              <w:tc>
                <w:tcPr>
                  <w:tcW w:w="890" w:type="dxa"/>
                  <w:tcBorders>
                    <w:top w:val="nil"/>
                    <w:left w:val="nil"/>
                    <w:bottom w:val="single" w:sz="4" w:space="0" w:color="auto"/>
                    <w:right w:val="single" w:sz="4" w:space="0" w:color="auto"/>
                  </w:tcBorders>
                  <w:shd w:val="clear" w:color="auto" w:fill="auto"/>
                  <w:noWrap/>
                  <w:vAlign w:val="bottom"/>
                  <w:hideMark/>
                </w:tcPr>
                <w:p w14:paraId="2FC50ACA"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0.04</w:t>
                  </w:r>
                </w:p>
              </w:tc>
              <w:tc>
                <w:tcPr>
                  <w:tcW w:w="1202" w:type="dxa"/>
                  <w:tcBorders>
                    <w:top w:val="nil"/>
                    <w:left w:val="nil"/>
                    <w:bottom w:val="single" w:sz="4" w:space="0" w:color="auto"/>
                    <w:right w:val="single" w:sz="4" w:space="0" w:color="auto"/>
                  </w:tcBorders>
                  <w:shd w:val="clear" w:color="auto" w:fill="auto"/>
                  <w:noWrap/>
                  <w:vAlign w:val="bottom"/>
                  <w:hideMark/>
                </w:tcPr>
                <w:p w14:paraId="353BB60F" w14:textId="77777777" w:rsidR="008C7B05" w:rsidRPr="008C7B05" w:rsidRDefault="008C7B05" w:rsidP="00891C26">
                  <w:pPr>
                    <w:widowControl/>
                    <w:autoSpaceDE/>
                    <w:autoSpaceDN/>
                    <w:adjustRightInd/>
                    <w:spacing w:line="276" w:lineRule="auto"/>
                    <w:jc w:val="right"/>
                    <w:rPr>
                      <w:rFonts w:ascii="Arial" w:hAnsi="Arial" w:cs="Arial"/>
                      <w:sz w:val="20"/>
                      <w:szCs w:val="20"/>
                    </w:rPr>
                  </w:pPr>
                  <w:r w:rsidRPr="008C7B05">
                    <w:rPr>
                      <w:rFonts w:ascii="Arial" w:hAnsi="Arial" w:cs="Arial"/>
                      <w:sz w:val="20"/>
                      <w:szCs w:val="20"/>
                    </w:rPr>
                    <w:t>2</w:t>
                  </w:r>
                </w:p>
              </w:tc>
              <w:tc>
                <w:tcPr>
                  <w:tcW w:w="891" w:type="dxa"/>
                  <w:tcBorders>
                    <w:top w:val="nil"/>
                    <w:left w:val="nil"/>
                    <w:bottom w:val="single" w:sz="4" w:space="0" w:color="auto"/>
                    <w:right w:val="single" w:sz="8" w:space="0" w:color="auto"/>
                  </w:tcBorders>
                  <w:shd w:val="clear" w:color="auto" w:fill="auto"/>
                  <w:noWrap/>
                  <w:vAlign w:val="bottom"/>
                  <w:hideMark/>
                </w:tcPr>
                <w:p w14:paraId="4EC42CA6"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0.05</w:t>
                  </w:r>
                </w:p>
              </w:tc>
            </w:tr>
            <w:tr w:rsidR="008C7B05" w:rsidRPr="008C7B05" w14:paraId="1283D84E" w14:textId="77777777" w:rsidTr="00D34D67">
              <w:trPr>
                <w:trHeight w:val="378"/>
              </w:trPr>
              <w:tc>
                <w:tcPr>
                  <w:tcW w:w="2743" w:type="dxa"/>
                  <w:tcBorders>
                    <w:top w:val="nil"/>
                    <w:left w:val="single" w:sz="8" w:space="0" w:color="auto"/>
                    <w:bottom w:val="single" w:sz="4" w:space="0" w:color="auto"/>
                    <w:right w:val="single" w:sz="4" w:space="0" w:color="auto"/>
                  </w:tcBorders>
                  <w:shd w:val="clear" w:color="auto" w:fill="auto"/>
                  <w:noWrap/>
                  <w:vAlign w:val="bottom"/>
                  <w:hideMark/>
                </w:tcPr>
                <w:p w14:paraId="11DCDB81" w14:textId="40B47CB4" w:rsidR="008C7B05" w:rsidRPr="008C7B05" w:rsidRDefault="00F8170A"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П</w:t>
                  </w:r>
                  <w:r w:rsidR="008C7B05" w:rsidRPr="008C7B05">
                    <w:rPr>
                      <w:rFonts w:ascii="Calibri" w:hAnsi="Calibri" w:cs="Calibri"/>
                      <w:color w:val="000000"/>
                      <w:sz w:val="22"/>
                      <w:szCs w:val="22"/>
                    </w:rPr>
                    <w:t>оцинковани</w:t>
                  </w:r>
                </w:p>
              </w:tc>
              <w:tc>
                <w:tcPr>
                  <w:tcW w:w="1199" w:type="dxa"/>
                  <w:tcBorders>
                    <w:top w:val="nil"/>
                    <w:left w:val="nil"/>
                    <w:bottom w:val="single" w:sz="4" w:space="0" w:color="auto"/>
                    <w:right w:val="single" w:sz="4" w:space="0" w:color="auto"/>
                  </w:tcBorders>
                  <w:shd w:val="clear" w:color="auto" w:fill="auto"/>
                  <w:noWrap/>
                  <w:vAlign w:val="bottom"/>
                  <w:hideMark/>
                </w:tcPr>
                <w:p w14:paraId="60DDA340"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w:t>
                  </w:r>
                </w:p>
              </w:tc>
              <w:tc>
                <w:tcPr>
                  <w:tcW w:w="889" w:type="dxa"/>
                  <w:tcBorders>
                    <w:top w:val="nil"/>
                    <w:left w:val="nil"/>
                    <w:bottom w:val="single" w:sz="4" w:space="0" w:color="auto"/>
                    <w:right w:val="single" w:sz="4" w:space="0" w:color="auto"/>
                  </w:tcBorders>
                  <w:shd w:val="clear" w:color="auto" w:fill="auto"/>
                  <w:noWrap/>
                  <w:vAlign w:val="bottom"/>
                  <w:hideMark/>
                </w:tcPr>
                <w:p w14:paraId="31CCC1B7"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0.00</w:t>
                  </w:r>
                </w:p>
              </w:tc>
              <w:tc>
                <w:tcPr>
                  <w:tcW w:w="1202" w:type="dxa"/>
                  <w:tcBorders>
                    <w:top w:val="nil"/>
                    <w:left w:val="nil"/>
                    <w:bottom w:val="single" w:sz="4" w:space="0" w:color="auto"/>
                    <w:right w:val="single" w:sz="4" w:space="0" w:color="auto"/>
                  </w:tcBorders>
                  <w:shd w:val="clear" w:color="auto" w:fill="auto"/>
                  <w:noWrap/>
                  <w:vAlign w:val="bottom"/>
                  <w:hideMark/>
                </w:tcPr>
                <w:p w14:paraId="17305FCD"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30</w:t>
                  </w:r>
                </w:p>
              </w:tc>
              <w:tc>
                <w:tcPr>
                  <w:tcW w:w="890" w:type="dxa"/>
                  <w:tcBorders>
                    <w:top w:val="nil"/>
                    <w:left w:val="nil"/>
                    <w:bottom w:val="single" w:sz="4" w:space="0" w:color="auto"/>
                    <w:right w:val="single" w:sz="4" w:space="0" w:color="auto"/>
                  </w:tcBorders>
                  <w:shd w:val="clear" w:color="auto" w:fill="auto"/>
                  <w:noWrap/>
                  <w:vAlign w:val="bottom"/>
                  <w:hideMark/>
                </w:tcPr>
                <w:p w14:paraId="35D7F88A"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1.15</w:t>
                  </w:r>
                </w:p>
              </w:tc>
              <w:tc>
                <w:tcPr>
                  <w:tcW w:w="1202" w:type="dxa"/>
                  <w:tcBorders>
                    <w:top w:val="nil"/>
                    <w:left w:val="nil"/>
                    <w:bottom w:val="single" w:sz="4" w:space="0" w:color="auto"/>
                    <w:right w:val="single" w:sz="4" w:space="0" w:color="auto"/>
                  </w:tcBorders>
                  <w:shd w:val="clear" w:color="auto" w:fill="auto"/>
                  <w:noWrap/>
                  <w:vAlign w:val="bottom"/>
                  <w:hideMark/>
                </w:tcPr>
                <w:p w14:paraId="3966A165" w14:textId="77777777" w:rsidR="008C7B05" w:rsidRPr="008C7B05" w:rsidRDefault="008C7B05" w:rsidP="00891C26">
                  <w:pPr>
                    <w:widowControl/>
                    <w:autoSpaceDE/>
                    <w:autoSpaceDN/>
                    <w:adjustRightInd/>
                    <w:spacing w:line="276" w:lineRule="auto"/>
                    <w:jc w:val="right"/>
                    <w:rPr>
                      <w:rFonts w:ascii="Arial" w:hAnsi="Arial" w:cs="Arial"/>
                      <w:sz w:val="20"/>
                      <w:szCs w:val="20"/>
                    </w:rPr>
                  </w:pPr>
                  <w:r w:rsidRPr="008C7B05">
                    <w:rPr>
                      <w:rFonts w:ascii="Arial" w:hAnsi="Arial" w:cs="Arial"/>
                      <w:sz w:val="20"/>
                      <w:szCs w:val="20"/>
                    </w:rPr>
                    <w:t>30</w:t>
                  </w:r>
                </w:p>
              </w:tc>
              <w:tc>
                <w:tcPr>
                  <w:tcW w:w="891" w:type="dxa"/>
                  <w:tcBorders>
                    <w:top w:val="nil"/>
                    <w:left w:val="nil"/>
                    <w:bottom w:val="single" w:sz="4" w:space="0" w:color="auto"/>
                    <w:right w:val="single" w:sz="8" w:space="0" w:color="auto"/>
                  </w:tcBorders>
                  <w:shd w:val="clear" w:color="auto" w:fill="auto"/>
                  <w:noWrap/>
                  <w:vAlign w:val="bottom"/>
                  <w:hideMark/>
                </w:tcPr>
                <w:p w14:paraId="314A82AC"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0.70</w:t>
                  </w:r>
                </w:p>
              </w:tc>
            </w:tr>
            <w:tr w:rsidR="008C7B05" w:rsidRPr="008C7B05" w14:paraId="353BDE15" w14:textId="77777777" w:rsidTr="00D34D67">
              <w:trPr>
                <w:trHeight w:val="378"/>
              </w:trPr>
              <w:tc>
                <w:tcPr>
                  <w:tcW w:w="2743" w:type="dxa"/>
                  <w:tcBorders>
                    <w:top w:val="nil"/>
                    <w:left w:val="single" w:sz="8" w:space="0" w:color="auto"/>
                    <w:bottom w:val="single" w:sz="4" w:space="0" w:color="auto"/>
                    <w:right w:val="single" w:sz="4" w:space="0" w:color="auto"/>
                  </w:tcBorders>
                  <w:shd w:val="clear" w:color="auto" w:fill="auto"/>
                  <w:noWrap/>
                  <w:vAlign w:val="bottom"/>
                  <w:hideMark/>
                </w:tcPr>
                <w:p w14:paraId="670DD750" w14:textId="731DCC3B" w:rsidR="008C7B05" w:rsidRPr="008C7B05" w:rsidRDefault="00F8170A"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К</w:t>
                  </w:r>
                  <w:r w:rsidR="008C7B05" w:rsidRPr="008C7B05">
                    <w:rPr>
                      <w:rFonts w:ascii="Calibri" w:hAnsi="Calibri" w:cs="Calibri"/>
                      <w:color w:val="000000"/>
                      <w:sz w:val="22"/>
                      <w:szCs w:val="22"/>
                    </w:rPr>
                    <w:t>аменин</w:t>
                  </w:r>
                </w:p>
              </w:tc>
              <w:tc>
                <w:tcPr>
                  <w:tcW w:w="1199" w:type="dxa"/>
                  <w:tcBorders>
                    <w:top w:val="nil"/>
                    <w:left w:val="nil"/>
                    <w:bottom w:val="single" w:sz="4" w:space="0" w:color="auto"/>
                    <w:right w:val="single" w:sz="4" w:space="0" w:color="auto"/>
                  </w:tcBorders>
                  <w:shd w:val="clear" w:color="auto" w:fill="auto"/>
                  <w:noWrap/>
                  <w:vAlign w:val="bottom"/>
                  <w:hideMark/>
                </w:tcPr>
                <w:p w14:paraId="190A13FF"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7</w:t>
                  </w:r>
                </w:p>
              </w:tc>
              <w:tc>
                <w:tcPr>
                  <w:tcW w:w="889" w:type="dxa"/>
                  <w:tcBorders>
                    <w:top w:val="nil"/>
                    <w:left w:val="nil"/>
                    <w:bottom w:val="single" w:sz="4" w:space="0" w:color="auto"/>
                    <w:right w:val="single" w:sz="4" w:space="0" w:color="auto"/>
                  </w:tcBorders>
                  <w:shd w:val="clear" w:color="auto" w:fill="auto"/>
                  <w:noWrap/>
                  <w:vAlign w:val="bottom"/>
                  <w:hideMark/>
                </w:tcPr>
                <w:p w14:paraId="32ADE1BF"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0.42</w:t>
                  </w:r>
                </w:p>
              </w:tc>
              <w:tc>
                <w:tcPr>
                  <w:tcW w:w="1202" w:type="dxa"/>
                  <w:tcBorders>
                    <w:top w:val="nil"/>
                    <w:left w:val="nil"/>
                    <w:bottom w:val="single" w:sz="4" w:space="0" w:color="auto"/>
                    <w:right w:val="single" w:sz="4" w:space="0" w:color="auto"/>
                  </w:tcBorders>
                  <w:shd w:val="clear" w:color="auto" w:fill="auto"/>
                  <w:noWrap/>
                  <w:vAlign w:val="bottom"/>
                  <w:hideMark/>
                </w:tcPr>
                <w:p w14:paraId="53BA3A7F" w14:textId="77777777" w:rsidR="008C7B05" w:rsidRPr="008C7B05" w:rsidRDefault="008C7B05"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 </w:t>
                  </w:r>
                </w:p>
              </w:tc>
              <w:tc>
                <w:tcPr>
                  <w:tcW w:w="890" w:type="dxa"/>
                  <w:tcBorders>
                    <w:top w:val="nil"/>
                    <w:left w:val="nil"/>
                    <w:bottom w:val="single" w:sz="4" w:space="0" w:color="auto"/>
                    <w:right w:val="single" w:sz="4" w:space="0" w:color="auto"/>
                  </w:tcBorders>
                  <w:shd w:val="clear" w:color="auto" w:fill="auto"/>
                  <w:noWrap/>
                  <w:vAlign w:val="bottom"/>
                  <w:hideMark/>
                </w:tcPr>
                <w:p w14:paraId="2A62F95F"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0.00</w:t>
                  </w:r>
                </w:p>
              </w:tc>
              <w:tc>
                <w:tcPr>
                  <w:tcW w:w="1202" w:type="dxa"/>
                  <w:tcBorders>
                    <w:top w:val="nil"/>
                    <w:left w:val="nil"/>
                    <w:bottom w:val="single" w:sz="4" w:space="0" w:color="auto"/>
                    <w:right w:val="single" w:sz="4" w:space="0" w:color="auto"/>
                  </w:tcBorders>
                  <w:shd w:val="clear" w:color="auto" w:fill="auto"/>
                  <w:noWrap/>
                  <w:vAlign w:val="bottom"/>
                  <w:hideMark/>
                </w:tcPr>
                <w:p w14:paraId="3205862F" w14:textId="77777777" w:rsidR="008C7B05" w:rsidRPr="008C7B05" w:rsidRDefault="008C7B05" w:rsidP="00891C26">
                  <w:pPr>
                    <w:widowControl/>
                    <w:autoSpaceDE/>
                    <w:autoSpaceDN/>
                    <w:adjustRightInd/>
                    <w:spacing w:line="276" w:lineRule="auto"/>
                    <w:jc w:val="right"/>
                    <w:rPr>
                      <w:rFonts w:ascii="Arial" w:hAnsi="Arial" w:cs="Arial"/>
                      <w:sz w:val="20"/>
                      <w:szCs w:val="20"/>
                    </w:rPr>
                  </w:pPr>
                  <w:r w:rsidRPr="008C7B05">
                    <w:rPr>
                      <w:rFonts w:ascii="Arial" w:hAnsi="Arial" w:cs="Arial"/>
                      <w:sz w:val="20"/>
                      <w:szCs w:val="20"/>
                    </w:rPr>
                    <w:t>7</w:t>
                  </w:r>
                </w:p>
              </w:tc>
              <w:tc>
                <w:tcPr>
                  <w:tcW w:w="891" w:type="dxa"/>
                  <w:tcBorders>
                    <w:top w:val="nil"/>
                    <w:left w:val="nil"/>
                    <w:bottom w:val="single" w:sz="4" w:space="0" w:color="auto"/>
                    <w:right w:val="single" w:sz="8" w:space="0" w:color="auto"/>
                  </w:tcBorders>
                  <w:shd w:val="clear" w:color="auto" w:fill="auto"/>
                  <w:noWrap/>
                  <w:vAlign w:val="bottom"/>
                  <w:hideMark/>
                </w:tcPr>
                <w:p w14:paraId="18F9764B"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0.16</w:t>
                  </w:r>
                </w:p>
              </w:tc>
            </w:tr>
            <w:tr w:rsidR="008C7B05" w:rsidRPr="008C7B05" w14:paraId="2F22C8E1" w14:textId="77777777" w:rsidTr="00D34D67">
              <w:trPr>
                <w:trHeight w:val="378"/>
              </w:trPr>
              <w:tc>
                <w:tcPr>
                  <w:tcW w:w="2743" w:type="dxa"/>
                  <w:tcBorders>
                    <w:top w:val="nil"/>
                    <w:left w:val="single" w:sz="8" w:space="0" w:color="auto"/>
                    <w:bottom w:val="single" w:sz="4" w:space="0" w:color="auto"/>
                    <w:right w:val="single" w:sz="4" w:space="0" w:color="auto"/>
                  </w:tcBorders>
                  <w:shd w:val="clear" w:color="auto" w:fill="auto"/>
                  <w:noWrap/>
                  <w:vAlign w:val="bottom"/>
                  <w:hideMark/>
                </w:tcPr>
                <w:p w14:paraId="54C3A65E" w14:textId="468C5F8D" w:rsidR="008C7B05" w:rsidRPr="008C7B05" w:rsidRDefault="00F8170A"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С</w:t>
                  </w:r>
                  <w:r w:rsidR="008C7B05" w:rsidRPr="008C7B05">
                    <w:rPr>
                      <w:rFonts w:ascii="Calibri" w:hAnsi="Calibri" w:cs="Calibri"/>
                      <w:color w:val="000000"/>
                      <w:sz w:val="22"/>
                      <w:szCs w:val="22"/>
                    </w:rPr>
                    <w:t>томанобет</w:t>
                  </w:r>
                </w:p>
              </w:tc>
              <w:tc>
                <w:tcPr>
                  <w:tcW w:w="1199" w:type="dxa"/>
                  <w:tcBorders>
                    <w:top w:val="nil"/>
                    <w:left w:val="nil"/>
                    <w:bottom w:val="single" w:sz="4" w:space="0" w:color="auto"/>
                    <w:right w:val="single" w:sz="4" w:space="0" w:color="auto"/>
                  </w:tcBorders>
                  <w:shd w:val="clear" w:color="auto" w:fill="auto"/>
                  <w:noWrap/>
                  <w:vAlign w:val="bottom"/>
                  <w:hideMark/>
                </w:tcPr>
                <w:p w14:paraId="70D23CB6"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85</w:t>
                  </w:r>
                </w:p>
              </w:tc>
              <w:tc>
                <w:tcPr>
                  <w:tcW w:w="889" w:type="dxa"/>
                  <w:tcBorders>
                    <w:top w:val="nil"/>
                    <w:left w:val="nil"/>
                    <w:bottom w:val="single" w:sz="4" w:space="0" w:color="auto"/>
                    <w:right w:val="single" w:sz="4" w:space="0" w:color="auto"/>
                  </w:tcBorders>
                  <w:shd w:val="clear" w:color="auto" w:fill="auto"/>
                  <w:noWrap/>
                  <w:vAlign w:val="bottom"/>
                  <w:hideMark/>
                </w:tcPr>
                <w:p w14:paraId="4C7006C8"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5.11</w:t>
                  </w:r>
                </w:p>
              </w:tc>
              <w:tc>
                <w:tcPr>
                  <w:tcW w:w="1202" w:type="dxa"/>
                  <w:tcBorders>
                    <w:top w:val="nil"/>
                    <w:left w:val="nil"/>
                    <w:bottom w:val="single" w:sz="4" w:space="0" w:color="auto"/>
                    <w:right w:val="single" w:sz="4" w:space="0" w:color="auto"/>
                  </w:tcBorders>
                  <w:shd w:val="clear" w:color="auto" w:fill="auto"/>
                  <w:noWrap/>
                  <w:vAlign w:val="bottom"/>
                  <w:hideMark/>
                </w:tcPr>
                <w:p w14:paraId="00C0F975" w14:textId="77777777" w:rsidR="008C7B05" w:rsidRPr="008C7B05" w:rsidRDefault="008C7B05"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 </w:t>
                  </w:r>
                </w:p>
              </w:tc>
              <w:tc>
                <w:tcPr>
                  <w:tcW w:w="890" w:type="dxa"/>
                  <w:tcBorders>
                    <w:top w:val="nil"/>
                    <w:left w:val="nil"/>
                    <w:bottom w:val="single" w:sz="4" w:space="0" w:color="auto"/>
                    <w:right w:val="single" w:sz="4" w:space="0" w:color="auto"/>
                  </w:tcBorders>
                  <w:shd w:val="clear" w:color="auto" w:fill="auto"/>
                  <w:noWrap/>
                  <w:vAlign w:val="bottom"/>
                  <w:hideMark/>
                </w:tcPr>
                <w:p w14:paraId="062EA5F8"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0.00</w:t>
                  </w:r>
                </w:p>
              </w:tc>
              <w:tc>
                <w:tcPr>
                  <w:tcW w:w="1202" w:type="dxa"/>
                  <w:tcBorders>
                    <w:top w:val="nil"/>
                    <w:left w:val="nil"/>
                    <w:bottom w:val="single" w:sz="4" w:space="0" w:color="auto"/>
                    <w:right w:val="single" w:sz="4" w:space="0" w:color="auto"/>
                  </w:tcBorders>
                  <w:shd w:val="clear" w:color="auto" w:fill="auto"/>
                  <w:noWrap/>
                  <w:vAlign w:val="bottom"/>
                  <w:hideMark/>
                </w:tcPr>
                <w:p w14:paraId="46A1D1DE" w14:textId="77777777" w:rsidR="008C7B05" w:rsidRPr="008C7B05" w:rsidRDefault="008C7B05" w:rsidP="00891C26">
                  <w:pPr>
                    <w:widowControl/>
                    <w:autoSpaceDE/>
                    <w:autoSpaceDN/>
                    <w:adjustRightInd/>
                    <w:spacing w:line="276" w:lineRule="auto"/>
                    <w:jc w:val="right"/>
                    <w:rPr>
                      <w:rFonts w:ascii="Arial" w:hAnsi="Arial" w:cs="Arial"/>
                      <w:sz w:val="20"/>
                      <w:szCs w:val="20"/>
                    </w:rPr>
                  </w:pPr>
                  <w:r w:rsidRPr="008C7B05">
                    <w:rPr>
                      <w:rFonts w:ascii="Arial" w:hAnsi="Arial" w:cs="Arial"/>
                      <w:sz w:val="20"/>
                      <w:szCs w:val="20"/>
                    </w:rPr>
                    <w:t>85</w:t>
                  </w:r>
                </w:p>
              </w:tc>
              <w:tc>
                <w:tcPr>
                  <w:tcW w:w="891" w:type="dxa"/>
                  <w:tcBorders>
                    <w:top w:val="nil"/>
                    <w:left w:val="nil"/>
                    <w:bottom w:val="single" w:sz="4" w:space="0" w:color="auto"/>
                    <w:right w:val="single" w:sz="8" w:space="0" w:color="auto"/>
                  </w:tcBorders>
                  <w:shd w:val="clear" w:color="auto" w:fill="auto"/>
                  <w:noWrap/>
                  <w:vAlign w:val="bottom"/>
                  <w:hideMark/>
                </w:tcPr>
                <w:p w14:paraId="48FD0E84"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1.99</w:t>
                  </w:r>
                </w:p>
              </w:tc>
            </w:tr>
            <w:tr w:rsidR="008C7B05" w:rsidRPr="008C7B05" w14:paraId="0B462CDF" w14:textId="77777777" w:rsidTr="00D34D67">
              <w:trPr>
                <w:trHeight w:val="397"/>
              </w:trPr>
              <w:tc>
                <w:tcPr>
                  <w:tcW w:w="2743" w:type="dxa"/>
                  <w:tcBorders>
                    <w:top w:val="nil"/>
                    <w:left w:val="single" w:sz="8" w:space="0" w:color="auto"/>
                    <w:bottom w:val="single" w:sz="8" w:space="0" w:color="auto"/>
                    <w:right w:val="single" w:sz="4" w:space="0" w:color="auto"/>
                  </w:tcBorders>
                  <w:shd w:val="clear" w:color="auto" w:fill="auto"/>
                  <w:noWrap/>
                  <w:vAlign w:val="bottom"/>
                  <w:hideMark/>
                </w:tcPr>
                <w:p w14:paraId="64811AEE" w14:textId="77777777" w:rsidR="008C7B05" w:rsidRPr="008C7B05" w:rsidRDefault="008C7B05"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PVC-o</w:t>
                  </w:r>
                </w:p>
              </w:tc>
              <w:tc>
                <w:tcPr>
                  <w:tcW w:w="1199" w:type="dxa"/>
                  <w:tcBorders>
                    <w:top w:val="nil"/>
                    <w:left w:val="nil"/>
                    <w:bottom w:val="single" w:sz="8" w:space="0" w:color="auto"/>
                    <w:right w:val="single" w:sz="4" w:space="0" w:color="auto"/>
                  </w:tcBorders>
                  <w:shd w:val="clear" w:color="auto" w:fill="auto"/>
                  <w:noWrap/>
                  <w:vAlign w:val="bottom"/>
                  <w:hideMark/>
                </w:tcPr>
                <w:p w14:paraId="47F30955"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1.76</w:t>
                  </w:r>
                </w:p>
              </w:tc>
              <w:tc>
                <w:tcPr>
                  <w:tcW w:w="889" w:type="dxa"/>
                  <w:tcBorders>
                    <w:top w:val="nil"/>
                    <w:left w:val="nil"/>
                    <w:bottom w:val="single" w:sz="4" w:space="0" w:color="auto"/>
                    <w:right w:val="single" w:sz="4" w:space="0" w:color="auto"/>
                  </w:tcBorders>
                  <w:shd w:val="clear" w:color="auto" w:fill="auto"/>
                  <w:noWrap/>
                  <w:vAlign w:val="bottom"/>
                  <w:hideMark/>
                </w:tcPr>
                <w:p w14:paraId="51B9D8CC"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0.11</w:t>
                  </w:r>
                </w:p>
              </w:tc>
              <w:tc>
                <w:tcPr>
                  <w:tcW w:w="1202" w:type="dxa"/>
                  <w:tcBorders>
                    <w:top w:val="nil"/>
                    <w:left w:val="nil"/>
                    <w:bottom w:val="single" w:sz="8" w:space="0" w:color="auto"/>
                    <w:right w:val="single" w:sz="4" w:space="0" w:color="auto"/>
                  </w:tcBorders>
                  <w:shd w:val="clear" w:color="auto" w:fill="auto"/>
                  <w:noWrap/>
                  <w:vAlign w:val="bottom"/>
                  <w:hideMark/>
                </w:tcPr>
                <w:p w14:paraId="61BED88F" w14:textId="77777777" w:rsidR="008C7B05" w:rsidRPr="008C7B05" w:rsidRDefault="008C7B05"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 </w:t>
                  </w:r>
                </w:p>
              </w:tc>
              <w:tc>
                <w:tcPr>
                  <w:tcW w:w="890" w:type="dxa"/>
                  <w:tcBorders>
                    <w:top w:val="nil"/>
                    <w:left w:val="nil"/>
                    <w:bottom w:val="single" w:sz="8" w:space="0" w:color="auto"/>
                    <w:right w:val="single" w:sz="4" w:space="0" w:color="auto"/>
                  </w:tcBorders>
                  <w:shd w:val="clear" w:color="auto" w:fill="auto"/>
                  <w:noWrap/>
                  <w:vAlign w:val="bottom"/>
                  <w:hideMark/>
                </w:tcPr>
                <w:p w14:paraId="7186C69B" w14:textId="77777777" w:rsidR="008C7B05" w:rsidRPr="008C7B05" w:rsidRDefault="008C7B05" w:rsidP="00891C26">
                  <w:pPr>
                    <w:widowControl/>
                    <w:autoSpaceDE/>
                    <w:autoSpaceDN/>
                    <w:adjustRightInd/>
                    <w:spacing w:line="276" w:lineRule="auto"/>
                    <w:rPr>
                      <w:rFonts w:ascii="Calibri" w:hAnsi="Calibri" w:cs="Calibri"/>
                      <w:color w:val="000000"/>
                      <w:sz w:val="22"/>
                      <w:szCs w:val="22"/>
                    </w:rPr>
                  </w:pPr>
                  <w:r w:rsidRPr="008C7B05">
                    <w:rPr>
                      <w:rFonts w:ascii="Calibri" w:hAnsi="Calibri" w:cs="Calibri"/>
                      <w:color w:val="000000"/>
                      <w:sz w:val="22"/>
                      <w:szCs w:val="22"/>
                    </w:rPr>
                    <w:t> </w:t>
                  </w:r>
                </w:p>
              </w:tc>
              <w:tc>
                <w:tcPr>
                  <w:tcW w:w="1202" w:type="dxa"/>
                  <w:tcBorders>
                    <w:top w:val="nil"/>
                    <w:left w:val="nil"/>
                    <w:bottom w:val="single" w:sz="8" w:space="0" w:color="auto"/>
                    <w:right w:val="single" w:sz="4" w:space="0" w:color="auto"/>
                  </w:tcBorders>
                  <w:shd w:val="clear" w:color="auto" w:fill="auto"/>
                  <w:noWrap/>
                  <w:vAlign w:val="bottom"/>
                  <w:hideMark/>
                </w:tcPr>
                <w:p w14:paraId="5A7E0E49" w14:textId="77777777" w:rsidR="008C7B05" w:rsidRPr="008C7B05" w:rsidRDefault="008C7B05" w:rsidP="00891C26">
                  <w:pPr>
                    <w:widowControl/>
                    <w:autoSpaceDE/>
                    <w:autoSpaceDN/>
                    <w:adjustRightInd/>
                    <w:spacing w:line="276" w:lineRule="auto"/>
                    <w:jc w:val="right"/>
                    <w:rPr>
                      <w:rFonts w:ascii="Arial" w:hAnsi="Arial" w:cs="Arial"/>
                      <w:sz w:val="20"/>
                      <w:szCs w:val="20"/>
                    </w:rPr>
                  </w:pPr>
                  <w:r w:rsidRPr="008C7B05">
                    <w:rPr>
                      <w:rFonts w:ascii="Arial" w:hAnsi="Arial" w:cs="Arial"/>
                      <w:sz w:val="20"/>
                      <w:szCs w:val="20"/>
                    </w:rPr>
                    <w:t>1.76</w:t>
                  </w:r>
                </w:p>
              </w:tc>
              <w:tc>
                <w:tcPr>
                  <w:tcW w:w="891" w:type="dxa"/>
                  <w:tcBorders>
                    <w:top w:val="nil"/>
                    <w:left w:val="nil"/>
                    <w:bottom w:val="single" w:sz="8" w:space="0" w:color="auto"/>
                    <w:right w:val="single" w:sz="8" w:space="0" w:color="auto"/>
                  </w:tcBorders>
                  <w:shd w:val="clear" w:color="auto" w:fill="auto"/>
                  <w:noWrap/>
                  <w:vAlign w:val="bottom"/>
                  <w:hideMark/>
                </w:tcPr>
                <w:p w14:paraId="30F6E89A" w14:textId="77777777" w:rsidR="008C7B05" w:rsidRPr="008C7B05" w:rsidRDefault="008C7B05" w:rsidP="00891C26">
                  <w:pPr>
                    <w:widowControl/>
                    <w:autoSpaceDE/>
                    <w:autoSpaceDN/>
                    <w:adjustRightInd/>
                    <w:spacing w:line="276" w:lineRule="auto"/>
                    <w:jc w:val="right"/>
                    <w:rPr>
                      <w:rFonts w:ascii="Calibri" w:hAnsi="Calibri" w:cs="Calibri"/>
                      <w:color w:val="000000"/>
                      <w:sz w:val="22"/>
                      <w:szCs w:val="22"/>
                    </w:rPr>
                  </w:pPr>
                  <w:r w:rsidRPr="008C7B05">
                    <w:rPr>
                      <w:rFonts w:ascii="Calibri" w:hAnsi="Calibri" w:cs="Calibri"/>
                      <w:color w:val="000000"/>
                      <w:sz w:val="22"/>
                      <w:szCs w:val="22"/>
                    </w:rPr>
                    <w:t>0.04</w:t>
                  </w:r>
                </w:p>
              </w:tc>
            </w:tr>
            <w:tr w:rsidR="008C7B05" w:rsidRPr="008C7B05" w14:paraId="678CC7C8" w14:textId="77777777" w:rsidTr="00D34D67">
              <w:trPr>
                <w:trHeight w:val="397"/>
              </w:trPr>
              <w:tc>
                <w:tcPr>
                  <w:tcW w:w="2743" w:type="dxa"/>
                  <w:tcBorders>
                    <w:top w:val="nil"/>
                    <w:left w:val="single" w:sz="8" w:space="0" w:color="auto"/>
                    <w:bottom w:val="single" w:sz="8" w:space="0" w:color="auto"/>
                    <w:right w:val="single" w:sz="4" w:space="0" w:color="auto"/>
                  </w:tcBorders>
                  <w:shd w:val="clear" w:color="auto" w:fill="auto"/>
                  <w:noWrap/>
                  <w:vAlign w:val="bottom"/>
                  <w:hideMark/>
                </w:tcPr>
                <w:p w14:paraId="1E342115" w14:textId="676DAFB8" w:rsidR="008C7B05" w:rsidRPr="008C7B05" w:rsidRDefault="00F8170A" w:rsidP="00891C26">
                  <w:pPr>
                    <w:widowControl/>
                    <w:autoSpaceDE/>
                    <w:autoSpaceDN/>
                    <w:adjustRightInd/>
                    <w:spacing w:line="276" w:lineRule="auto"/>
                    <w:rPr>
                      <w:rFonts w:ascii="Arial" w:hAnsi="Arial" w:cs="Arial"/>
                      <w:b/>
                      <w:bCs/>
                      <w:sz w:val="20"/>
                      <w:szCs w:val="20"/>
                    </w:rPr>
                  </w:pPr>
                  <w:r w:rsidRPr="008C7B05">
                    <w:rPr>
                      <w:rFonts w:ascii="Arial" w:hAnsi="Arial" w:cs="Arial"/>
                      <w:b/>
                      <w:bCs/>
                      <w:sz w:val="20"/>
                      <w:szCs w:val="20"/>
                    </w:rPr>
                    <w:t>В</w:t>
                  </w:r>
                  <w:r w:rsidR="008C7B05" w:rsidRPr="008C7B05">
                    <w:rPr>
                      <w:rFonts w:ascii="Arial" w:hAnsi="Arial" w:cs="Arial"/>
                      <w:b/>
                      <w:bCs/>
                      <w:sz w:val="20"/>
                      <w:szCs w:val="20"/>
                    </w:rPr>
                    <w:t>сичко</w:t>
                  </w:r>
                </w:p>
              </w:tc>
              <w:tc>
                <w:tcPr>
                  <w:tcW w:w="1199" w:type="dxa"/>
                  <w:tcBorders>
                    <w:top w:val="nil"/>
                    <w:left w:val="nil"/>
                    <w:bottom w:val="single" w:sz="8" w:space="0" w:color="auto"/>
                    <w:right w:val="single" w:sz="4" w:space="0" w:color="auto"/>
                  </w:tcBorders>
                  <w:shd w:val="clear" w:color="auto" w:fill="auto"/>
                  <w:noWrap/>
                  <w:vAlign w:val="bottom"/>
                  <w:hideMark/>
                </w:tcPr>
                <w:p w14:paraId="50E5F3B3" w14:textId="77777777" w:rsidR="008C7B05" w:rsidRPr="008C7B05" w:rsidRDefault="008C7B05" w:rsidP="00891C26">
                  <w:pPr>
                    <w:widowControl/>
                    <w:autoSpaceDE/>
                    <w:autoSpaceDN/>
                    <w:adjustRightInd/>
                    <w:spacing w:line="276" w:lineRule="auto"/>
                    <w:jc w:val="right"/>
                    <w:rPr>
                      <w:rFonts w:ascii="Arial" w:hAnsi="Arial" w:cs="Arial"/>
                      <w:b/>
                      <w:bCs/>
                      <w:sz w:val="20"/>
                      <w:szCs w:val="20"/>
                    </w:rPr>
                  </w:pPr>
                  <w:r w:rsidRPr="008C7B05">
                    <w:rPr>
                      <w:rFonts w:ascii="Arial" w:hAnsi="Arial" w:cs="Arial"/>
                      <w:b/>
                      <w:bCs/>
                      <w:sz w:val="20"/>
                      <w:szCs w:val="20"/>
                    </w:rPr>
                    <w:t>1664.206</w:t>
                  </w:r>
                </w:p>
              </w:tc>
              <w:tc>
                <w:tcPr>
                  <w:tcW w:w="889" w:type="dxa"/>
                  <w:tcBorders>
                    <w:top w:val="nil"/>
                    <w:left w:val="nil"/>
                    <w:bottom w:val="single" w:sz="8" w:space="0" w:color="auto"/>
                    <w:right w:val="single" w:sz="4" w:space="0" w:color="auto"/>
                  </w:tcBorders>
                  <w:shd w:val="clear" w:color="auto" w:fill="auto"/>
                  <w:noWrap/>
                  <w:vAlign w:val="bottom"/>
                  <w:hideMark/>
                </w:tcPr>
                <w:p w14:paraId="20C30866" w14:textId="77777777" w:rsidR="008C7B05" w:rsidRPr="008C7B05" w:rsidRDefault="008C7B05" w:rsidP="00891C26">
                  <w:pPr>
                    <w:widowControl/>
                    <w:autoSpaceDE/>
                    <w:autoSpaceDN/>
                    <w:adjustRightInd/>
                    <w:spacing w:line="276" w:lineRule="auto"/>
                    <w:jc w:val="right"/>
                    <w:rPr>
                      <w:rFonts w:ascii="Arial" w:hAnsi="Arial" w:cs="Arial"/>
                      <w:b/>
                      <w:bCs/>
                      <w:sz w:val="20"/>
                      <w:szCs w:val="20"/>
                    </w:rPr>
                  </w:pPr>
                  <w:r w:rsidRPr="008C7B05">
                    <w:rPr>
                      <w:rFonts w:ascii="Arial" w:hAnsi="Arial" w:cs="Arial"/>
                      <w:b/>
                      <w:bCs/>
                      <w:sz w:val="20"/>
                      <w:szCs w:val="20"/>
                    </w:rPr>
                    <w:t>100.00</w:t>
                  </w:r>
                </w:p>
              </w:tc>
              <w:tc>
                <w:tcPr>
                  <w:tcW w:w="1202" w:type="dxa"/>
                  <w:tcBorders>
                    <w:top w:val="nil"/>
                    <w:left w:val="nil"/>
                    <w:bottom w:val="single" w:sz="8" w:space="0" w:color="auto"/>
                    <w:right w:val="single" w:sz="4" w:space="0" w:color="auto"/>
                  </w:tcBorders>
                  <w:shd w:val="clear" w:color="auto" w:fill="auto"/>
                  <w:noWrap/>
                  <w:vAlign w:val="bottom"/>
                  <w:hideMark/>
                </w:tcPr>
                <w:p w14:paraId="7525F9E2" w14:textId="77777777" w:rsidR="008C7B05" w:rsidRPr="008C7B05" w:rsidRDefault="008C7B05" w:rsidP="00891C26">
                  <w:pPr>
                    <w:widowControl/>
                    <w:autoSpaceDE/>
                    <w:autoSpaceDN/>
                    <w:adjustRightInd/>
                    <w:spacing w:line="276" w:lineRule="auto"/>
                    <w:jc w:val="right"/>
                    <w:rPr>
                      <w:rFonts w:ascii="Arial" w:hAnsi="Arial" w:cs="Arial"/>
                      <w:b/>
                      <w:bCs/>
                      <w:sz w:val="20"/>
                      <w:szCs w:val="20"/>
                    </w:rPr>
                  </w:pPr>
                  <w:r w:rsidRPr="008C7B05">
                    <w:rPr>
                      <w:rFonts w:ascii="Arial" w:hAnsi="Arial" w:cs="Arial"/>
                      <w:b/>
                      <w:bCs/>
                      <w:sz w:val="20"/>
                      <w:szCs w:val="20"/>
                    </w:rPr>
                    <w:t>2605.83</w:t>
                  </w:r>
                </w:p>
              </w:tc>
              <w:tc>
                <w:tcPr>
                  <w:tcW w:w="890" w:type="dxa"/>
                  <w:tcBorders>
                    <w:top w:val="nil"/>
                    <w:left w:val="nil"/>
                    <w:bottom w:val="single" w:sz="8" w:space="0" w:color="auto"/>
                    <w:right w:val="single" w:sz="4" w:space="0" w:color="auto"/>
                  </w:tcBorders>
                  <w:shd w:val="clear" w:color="auto" w:fill="auto"/>
                  <w:noWrap/>
                  <w:vAlign w:val="bottom"/>
                  <w:hideMark/>
                </w:tcPr>
                <w:p w14:paraId="4CF04238" w14:textId="77777777" w:rsidR="008C7B05" w:rsidRPr="008C7B05" w:rsidRDefault="008C7B05" w:rsidP="00891C26">
                  <w:pPr>
                    <w:widowControl/>
                    <w:autoSpaceDE/>
                    <w:autoSpaceDN/>
                    <w:adjustRightInd/>
                    <w:spacing w:line="276" w:lineRule="auto"/>
                    <w:jc w:val="right"/>
                    <w:rPr>
                      <w:rFonts w:ascii="Arial" w:hAnsi="Arial" w:cs="Arial"/>
                      <w:b/>
                      <w:bCs/>
                      <w:sz w:val="20"/>
                      <w:szCs w:val="20"/>
                    </w:rPr>
                  </w:pPr>
                  <w:r w:rsidRPr="008C7B05">
                    <w:rPr>
                      <w:rFonts w:ascii="Arial" w:hAnsi="Arial" w:cs="Arial"/>
                      <w:b/>
                      <w:bCs/>
                      <w:sz w:val="20"/>
                      <w:szCs w:val="20"/>
                    </w:rPr>
                    <w:t>100.00</w:t>
                  </w:r>
                </w:p>
              </w:tc>
              <w:tc>
                <w:tcPr>
                  <w:tcW w:w="1202" w:type="dxa"/>
                  <w:tcBorders>
                    <w:top w:val="nil"/>
                    <w:left w:val="nil"/>
                    <w:bottom w:val="single" w:sz="8" w:space="0" w:color="auto"/>
                    <w:right w:val="single" w:sz="4" w:space="0" w:color="auto"/>
                  </w:tcBorders>
                  <w:shd w:val="clear" w:color="auto" w:fill="auto"/>
                  <w:noWrap/>
                  <w:vAlign w:val="bottom"/>
                  <w:hideMark/>
                </w:tcPr>
                <w:p w14:paraId="38294692" w14:textId="77777777" w:rsidR="008C7B05" w:rsidRPr="008C7B05" w:rsidRDefault="008C7B05" w:rsidP="00891C26">
                  <w:pPr>
                    <w:widowControl/>
                    <w:autoSpaceDE/>
                    <w:autoSpaceDN/>
                    <w:adjustRightInd/>
                    <w:spacing w:line="276" w:lineRule="auto"/>
                    <w:jc w:val="right"/>
                    <w:rPr>
                      <w:rFonts w:ascii="Arial" w:hAnsi="Arial" w:cs="Arial"/>
                      <w:b/>
                      <w:bCs/>
                      <w:sz w:val="20"/>
                      <w:szCs w:val="20"/>
                    </w:rPr>
                  </w:pPr>
                  <w:r w:rsidRPr="008C7B05">
                    <w:rPr>
                      <w:rFonts w:ascii="Arial" w:hAnsi="Arial" w:cs="Arial"/>
                      <w:b/>
                      <w:bCs/>
                      <w:sz w:val="20"/>
                      <w:szCs w:val="20"/>
                    </w:rPr>
                    <w:t>4270.036</w:t>
                  </w:r>
                </w:p>
              </w:tc>
              <w:tc>
                <w:tcPr>
                  <w:tcW w:w="891" w:type="dxa"/>
                  <w:tcBorders>
                    <w:top w:val="nil"/>
                    <w:left w:val="nil"/>
                    <w:bottom w:val="single" w:sz="8" w:space="0" w:color="auto"/>
                    <w:right w:val="single" w:sz="8" w:space="0" w:color="auto"/>
                  </w:tcBorders>
                  <w:shd w:val="clear" w:color="auto" w:fill="auto"/>
                  <w:noWrap/>
                  <w:vAlign w:val="bottom"/>
                  <w:hideMark/>
                </w:tcPr>
                <w:p w14:paraId="22851BEB" w14:textId="77777777" w:rsidR="008C7B05" w:rsidRPr="008C7B05" w:rsidRDefault="008C7B05" w:rsidP="00891C26">
                  <w:pPr>
                    <w:widowControl/>
                    <w:autoSpaceDE/>
                    <w:autoSpaceDN/>
                    <w:adjustRightInd/>
                    <w:spacing w:line="276" w:lineRule="auto"/>
                    <w:jc w:val="right"/>
                    <w:rPr>
                      <w:rFonts w:ascii="Arial" w:hAnsi="Arial" w:cs="Arial"/>
                      <w:b/>
                      <w:bCs/>
                      <w:sz w:val="20"/>
                      <w:szCs w:val="20"/>
                    </w:rPr>
                  </w:pPr>
                  <w:r w:rsidRPr="008C7B05">
                    <w:rPr>
                      <w:rFonts w:ascii="Arial" w:hAnsi="Arial" w:cs="Arial"/>
                      <w:b/>
                      <w:bCs/>
                      <w:sz w:val="20"/>
                      <w:szCs w:val="20"/>
                    </w:rPr>
                    <w:t>100.00</w:t>
                  </w:r>
                </w:p>
              </w:tc>
            </w:tr>
          </w:tbl>
          <w:p w14:paraId="1ED93374" w14:textId="77777777" w:rsidR="00A2115B" w:rsidRPr="00A2115B" w:rsidRDefault="00A2115B" w:rsidP="00891C26">
            <w:pPr>
              <w:widowControl/>
              <w:autoSpaceDE/>
              <w:autoSpaceDN/>
              <w:adjustRightInd/>
              <w:spacing w:before="240" w:after="240" w:line="276" w:lineRule="auto"/>
              <w:jc w:val="both"/>
            </w:pPr>
          </w:p>
        </w:tc>
      </w:tr>
    </w:tbl>
    <w:p w14:paraId="0C6BAA8E" w14:textId="77777777" w:rsidR="00846359" w:rsidRDefault="00846359" w:rsidP="00891C26">
      <w:pPr>
        <w:shd w:val="clear" w:color="auto" w:fill="FFFFFF"/>
        <w:spacing w:line="276" w:lineRule="auto"/>
        <w:ind w:right="14"/>
        <w:jc w:val="both"/>
      </w:pPr>
    </w:p>
    <w:p w14:paraId="197AD27E" w14:textId="77777777" w:rsidR="00D34D67" w:rsidRDefault="00D34D67" w:rsidP="00891C26">
      <w:pPr>
        <w:shd w:val="clear" w:color="auto" w:fill="FFFFFF"/>
        <w:spacing w:line="276" w:lineRule="auto"/>
        <w:ind w:right="14"/>
        <w:jc w:val="both"/>
      </w:pPr>
    </w:p>
    <w:p w14:paraId="17E9FB80" w14:textId="77777777" w:rsidR="00D34D67" w:rsidRDefault="00D34D67" w:rsidP="00891C26">
      <w:pPr>
        <w:shd w:val="clear" w:color="auto" w:fill="FFFFFF"/>
        <w:spacing w:line="276" w:lineRule="auto"/>
        <w:ind w:right="14"/>
        <w:jc w:val="both"/>
      </w:pPr>
      <w:r>
        <w:rPr>
          <w:noProof/>
        </w:rPr>
        <w:drawing>
          <wp:inline distT="0" distB="0" distL="0" distR="0" wp14:anchorId="516BCFA8" wp14:editId="300A3048">
            <wp:extent cx="5761355" cy="3432297"/>
            <wp:effectExtent l="19050" t="0" r="10795"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621B2B" w14:textId="77777777" w:rsidR="00D34D67" w:rsidRPr="00C67CA3" w:rsidRDefault="00D34D67" w:rsidP="00891C26">
      <w:pPr>
        <w:shd w:val="clear" w:color="auto" w:fill="FFFFFF"/>
        <w:spacing w:line="276" w:lineRule="auto"/>
        <w:ind w:right="14"/>
        <w:jc w:val="both"/>
      </w:pPr>
    </w:p>
    <w:p w14:paraId="7CB906E7" w14:textId="77777777" w:rsidR="00835A5A" w:rsidRPr="00C67CA3" w:rsidRDefault="009F4EFF" w:rsidP="00891C26">
      <w:pPr>
        <w:pStyle w:val="BodyText"/>
        <w:spacing w:line="276" w:lineRule="auto"/>
        <w:ind w:firstLine="851"/>
        <w:jc w:val="both"/>
        <w:rPr>
          <w:color w:val="0000FF"/>
          <w:spacing w:val="-1"/>
        </w:rPr>
      </w:pPr>
      <w:r w:rsidRPr="00C67CA3">
        <w:t xml:space="preserve">Експлоатацията на водопроводните съоръжения се осъществява </w:t>
      </w:r>
      <w:r w:rsidRPr="00C67CA3">
        <w:rPr>
          <w:spacing w:val="8"/>
        </w:rPr>
        <w:t>от 1</w:t>
      </w:r>
      <w:r w:rsidR="0040470A">
        <w:rPr>
          <w:spacing w:val="8"/>
          <w:lang w:val="en-US"/>
        </w:rPr>
        <w:t xml:space="preserve"> </w:t>
      </w:r>
      <w:r w:rsidRPr="00C67CA3">
        <w:rPr>
          <w:spacing w:val="8"/>
        </w:rPr>
        <w:t>1</w:t>
      </w:r>
      <w:r w:rsidR="00977AD1" w:rsidRPr="00C67CA3">
        <w:rPr>
          <w:spacing w:val="8"/>
        </w:rPr>
        <w:t>10</w:t>
      </w:r>
      <w:r w:rsidRPr="00C67CA3">
        <w:rPr>
          <w:spacing w:val="8"/>
        </w:rPr>
        <w:t xml:space="preserve"> души </w:t>
      </w:r>
      <w:r w:rsidRPr="00C67CA3">
        <w:t xml:space="preserve">персонал на </w:t>
      </w:r>
      <w:r w:rsidR="00B5286B" w:rsidRPr="00C67CA3">
        <w:t>Д</w:t>
      </w:r>
      <w:r w:rsidRPr="00C67CA3">
        <w:t xml:space="preserve">ружеството, съсредоточен в 14 експлоатационни района, разположени в общинските центрове на областта с основни функции поддръжка и текущ ремонт на мрежата </w:t>
      </w:r>
      <w:r w:rsidR="00B5286B" w:rsidRPr="00C67CA3">
        <w:t>(</w:t>
      </w:r>
      <w:r w:rsidRPr="00C67CA3">
        <w:t>водопроводна и канализационна</w:t>
      </w:r>
      <w:r w:rsidR="00B5286B" w:rsidRPr="00C67CA3">
        <w:t>);</w:t>
      </w:r>
      <w:r w:rsidRPr="00C67CA3">
        <w:t xml:space="preserve"> отчитане водопотреблението от абонатите на Дружеството по трите основни дейности:</w:t>
      </w:r>
      <w:r w:rsidR="00B5286B" w:rsidRPr="00C67CA3">
        <w:t xml:space="preserve"> </w:t>
      </w:r>
      <w:r w:rsidRPr="00C67CA3">
        <w:t xml:space="preserve">доставка на питейна вода </w:t>
      </w:r>
      <w:r w:rsidR="00B5286B" w:rsidRPr="00C67CA3">
        <w:t>(помпажна и гравитачна)</w:t>
      </w:r>
      <w:r w:rsidRPr="00C67CA3">
        <w:t>,</w:t>
      </w:r>
      <w:r w:rsidR="00B5286B" w:rsidRPr="00C67CA3">
        <w:t xml:space="preserve"> </w:t>
      </w:r>
      <w:r w:rsidRPr="00C67CA3">
        <w:t>отвеждане и пречистване на отпад</w:t>
      </w:r>
      <w:r w:rsidR="00993BEC" w:rsidRPr="00C67CA3">
        <w:t xml:space="preserve">ъчни </w:t>
      </w:r>
      <w:r w:rsidRPr="00C67CA3">
        <w:t>вод</w:t>
      </w:r>
      <w:r w:rsidR="00993BEC" w:rsidRPr="00C67CA3">
        <w:t>и</w:t>
      </w:r>
      <w:r w:rsidRPr="00C67CA3">
        <w:t xml:space="preserve">. Производствените звена в </w:t>
      </w:r>
      <w:r w:rsidR="00B5286B" w:rsidRPr="00C67CA3">
        <w:lastRenderedPageBreak/>
        <w:t>Д</w:t>
      </w:r>
      <w:r w:rsidRPr="00C67CA3">
        <w:t>ружеството са общо 37, като освен гореспоменатите технически райони има 2</w:t>
      </w:r>
      <w:r w:rsidR="006A40AA">
        <w:t>4</w:t>
      </w:r>
      <w:r w:rsidRPr="00C67CA3">
        <w:t xml:space="preserve"> тясно специализирани звена със спомагателни и обслужващи функции,</w:t>
      </w:r>
      <w:r w:rsidR="00B5286B" w:rsidRPr="00C67CA3">
        <w:t xml:space="preserve"> </w:t>
      </w:r>
      <w:r w:rsidRPr="00C67CA3">
        <w:t xml:space="preserve">които подпомагат </w:t>
      </w:r>
      <w:r w:rsidR="00B5286B" w:rsidRPr="00C67CA3">
        <w:t xml:space="preserve">производствената дейност на </w:t>
      </w:r>
      <w:r w:rsidRPr="00C67CA3">
        <w:t>Дружеството</w:t>
      </w:r>
      <w:r w:rsidRPr="00C67CA3">
        <w:rPr>
          <w:color w:val="0000FF"/>
          <w:spacing w:val="-1"/>
        </w:rPr>
        <w:t>.</w:t>
      </w:r>
    </w:p>
    <w:p w14:paraId="614AB44B" w14:textId="77777777" w:rsidR="009F4EFF" w:rsidRPr="00C67CA3" w:rsidRDefault="009F4EFF" w:rsidP="00891C26">
      <w:pPr>
        <w:pStyle w:val="ListParagraph"/>
        <w:widowControl/>
        <w:numPr>
          <w:ilvl w:val="1"/>
          <w:numId w:val="30"/>
        </w:numPr>
        <w:tabs>
          <w:tab w:val="left" w:pos="1134"/>
        </w:tabs>
        <w:autoSpaceDE/>
        <w:autoSpaceDN/>
        <w:adjustRightInd/>
        <w:spacing w:before="240" w:line="276" w:lineRule="auto"/>
        <w:ind w:left="1134" w:hanging="283"/>
        <w:jc w:val="both"/>
        <w:rPr>
          <w:b/>
          <w:bCs/>
        </w:rPr>
      </w:pPr>
      <w:r w:rsidRPr="00C67CA3">
        <w:rPr>
          <w:b/>
          <w:bCs/>
        </w:rPr>
        <w:t>Анализ на ефективността на производствената дейност</w:t>
      </w:r>
    </w:p>
    <w:p w14:paraId="09F37C23" w14:textId="77777777" w:rsidR="009F4EFF" w:rsidRPr="00C67CA3" w:rsidRDefault="009F4EFF" w:rsidP="00891C26">
      <w:pPr>
        <w:pStyle w:val="BodyText"/>
        <w:spacing w:line="276" w:lineRule="auto"/>
        <w:ind w:firstLine="851"/>
        <w:jc w:val="both"/>
      </w:pPr>
      <w:r w:rsidRPr="00C67CA3">
        <w:t>Дружеството поддържа пръстенообразна система от магистрални водопроводи за доставка на вода в повечето райони на дейност,</w:t>
      </w:r>
      <w:r w:rsidR="006B3602" w:rsidRPr="00C67CA3">
        <w:t xml:space="preserve"> </w:t>
      </w:r>
      <w:r w:rsidRPr="00C67CA3">
        <w:t>които включват град Бургас и общините на региона. Някои селища се обслужват от местни системи,</w:t>
      </w:r>
      <w:r w:rsidR="006B3602" w:rsidRPr="00C67CA3">
        <w:t xml:space="preserve"> </w:t>
      </w:r>
      <w:r w:rsidRPr="00C67CA3">
        <w:t>включително независими водоизточници. Дружеството</w:t>
      </w:r>
      <w:r w:rsidR="00885B2B" w:rsidRPr="00C67CA3">
        <w:t xml:space="preserve"> </w:t>
      </w:r>
      <w:r w:rsidRPr="00C67CA3">
        <w:t xml:space="preserve">продава вода на варненския и сливенския регион. Към </w:t>
      </w:r>
      <w:r w:rsidR="006F3B7B" w:rsidRPr="00C67CA3">
        <w:t>201</w:t>
      </w:r>
      <w:r w:rsidR="00B33DC7">
        <w:rPr>
          <w:lang w:val="en-GB"/>
        </w:rPr>
        <w:t>9</w:t>
      </w:r>
      <w:r w:rsidR="006F3B7B" w:rsidRPr="00C67CA3">
        <w:t xml:space="preserve"> </w:t>
      </w:r>
      <w:r w:rsidRPr="00C67CA3">
        <w:t>г</w:t>
      </w:r>
      <w:r w:rsidR="0044762D" w:rsidRPr="00C67CA3">
        <w:t>.</w:t>
      </w:r>
      <w:r w:rsidRPr="00C67CA3">
        <w:t xml:space="preserve"> обслужваното население в районите на дейност е </w:t>
      </w:r>
      <w:r w:rsidR="006D74BC" w:rsidRPr="00C67CA3">
        <w:t>9</w:t>
      </w:r>
      <w:r w:rsidR="001E2BBC" w:rsidRPr="00C67CA3">
        <w:t>9</w:t>
      </w:r>
      <w:r w:rsidR="0040470A">
        <w:t>.</w:t>
      </w:r>
      <w:r w:rsidR="00D46598">
        <w:t>9</w:t>
      </w:r>
      <w:r w:rsidR="006D74BC" w:rsidRPr="00C67CA3">
        <w:t>%</w:t>
      </w:r>
      <w:r w:rsidRPr="00C67CA3">
        <w:rPr>
          <w:color w:val="FF0000"/>
        </w:rPr>
        <w:t xml:space="preserve"> </w:t>
      </w:r>
      <w:r w:rsidRPr="00C67CA3">
        <w:t>.</w:t>
      </w:r>
    </w:p>
    <w:p w14:paraId="5CEE0ADA" w14:textId="77777777" w:rsidR="009F4EFF" w:rsidRPr="00C67CA3" w:rsidRDefault="009F4EFF" w:rsidP="00891C26">
      <w:pPr>
        <w:pStyle w:val="BodyText"/>
        <w:spacing w:line="276" w:lineRule="auto"/>
        <w:ind w:firstLine="851"/>
        <w:jc w:val="both"/>
        <w:rPr>
          <w:bCs/>
        </w:rPr>
      </w:pPr>
      <w:r w:rsidRPr="00C67CA3">
        <w:t>Към пръстен</w:t>
      </w:r>
      <w:r w:rsidR="006B3602" w:rsidRPr="00C67CA3">
        <w:t>н</w:t>
      </w:r>
      <w:r w:rsidRPr="00C67CA3">
        <w:t xml:space="preserve">ата система са </w:t>
      </w:r>
      <w:r w:rsidRPr="00C67CA3">
        <w:rPr>
          <w:bCs/>
        </w:rPr>
        <w:t>включени четири главни водоизточника:</w:t>
      </w:r>
    </w:p>
    <w:p w14:paraId="3323399E" w14:textId="77777777" w:rsidR="00F44E40" w:rsidRPr="00C67CA3" w:rsidRDefault="009F4EFF" w:rsidP="00891C26">
      <w:pPr>
        <w:pStyle w:val="10"/>
        <w:numPr>
          <w:ilvl w:val="0"/>
          <w:numId w:val="16"/>
        </w:numPr>
        <w:spacing w:line="276" w:lineRule="auto"/>
        <w:ind w:left="1134" w:hanging="283"/>
        <w:jc w:val="both"/>
        <w:rPr>
          <w:rFonts w:ascii="Times New Roman" w:hAnsi="Times New Roman" w:cs="Times New Roman"/>
          <w:bCs/>
          <w:sz w:val="24"/>
        </w:rPr>
      </w:pPr>
      <w:r w:rsidRPr="00C67CA3">
        <w:rPr>
          <w:rFonts w:ascii="Times New Roman" w:hAnsi="Times New Roman" w:cs="Times New Roman"/>
          <w:bCs/>
          <w:sz w:val="24"/>
        </w:rPr>
        <w:t>язовир Камчия</w:t>
      </w:r>
    </w:p>
    <w:p w14:paraId="696635DE" w14:textId="77777777" w:rsidR="00F44E40" w:rsidRPr="00C67CA3" w:rsidRDefault="009F4EFF" w:rsidP="00891C26">
      <w:pPr>
        <w:pStyle w:val="10"/>
        <w:numPr>
          <w:ilvl w:val="0"/>
          <w:numId w:val="16"/>
        </w:numPr>
        <w:spacing w:line="276" w:lineRule="auto"/>
        <w:ind w:left="1134" w:hanging="283"/>
        <w:jc w:val="both"/>
        <w:rPr>
          <w:rFonts w:ascii="Times New Roman" w:hAnsi="Times New Roman" w:cs="Times New Roman"/>
          <w:bCs/>
          <w:sz w:val="24"/>
        </w:rPr>
      </w:pPr>
      <w:r w:rsidRPr="00C67CA3">
        <w:rPr>
          <w:rFonts w:ascii="Times New Roman" w:hAnsi="Times New Roman" w:cs="Times New Roman"/>
          <w:bCs/>
          <w:sz w:val="24"/>
        </w:rPr>
        <w:t xml:space="preserve">язовир Ясна </w:t>
      </w:r>
      <w:r w:rsidR="006B3602" w:rsidRPr="00C67CA3">
        <w:rPr>
          <w:rFonts w:ascii="Times New Roman" w:hAnsi="Times New Roman" w:cs="Times New Roman"/>
          <w:bCs/>
          <w:sz w:val="24"/>
        </w:rPr>
        <w:t>П</w:t>
      </w:r>
      <w:r w:rsidRPr="00C67CA3">
        <w:rPr>
          <w:rFonts w:ascii="Times New Roman" w:hAnsi="Times New Roman" w:cs="Times New Roman"/>
          <w:bCs/>
          <w:sz w:val="24"/>
        </w:rPr>
        <w:t>оляна</w:t>
      </w:r>
    </w:p>
    <w:p w14:paraId="112D6CD4" w14:textId="77777777" w:rsidR="00F44E40" w:rsidRPr="00C67CA3" w:rsidRDefault="009F4EFF" w:rsidP="00891C26">
      <w:pPr>
        <w:pStyle w:val="10"/>
        <w:numPr>
          <w:ilvl w:val="0"/>
          <w:numId w:val="16"/>
        </w:numPr>
        <w:spacing w:line="276" w:lineRule="auto"/>
        <w:ind w:left="1134" w:hanging="283"/>
        <w:jc w:val="both"/>
        <w:rPr>
          <w:rFonts w:ascii="Times New Roman" w:hAnsi="Times New Roman" w:cs="Times New Roman"/>
          <w:bCs/>
          <w:sz w:val="24"/>
        </w:rPr>
      </w:pPr>
      <w:r w:rsidRPr="00C67CA3">
        <w:rPr>
          <w:rFonts w:ascii="Times New Roman" w:hAnsi="Times New Roman" w:cs="Times New Roman"/>
          <w:bCs/>
          <w:sz w:val="24"/>
        </w:rPr>
        <w:t>язовир Ново Паничарево</w:t>
      </w:r>
    </w:p>
    <w:p w14:paraId="16B4B911" w14:textId="77777777" w:rsidR="00F44E40" w:rsidRPr="00C67CA3" w:rsidRDefault="009F4EFF" w:rsidP="00891C26">
      <w:pPr>
        <w:pStyle w:val="10"/>
        <w:numPr>
          <w:ilvl w:val="0"/>
          <w:numId w:val="16"/>
        </w:numPr>
        <w:spacing w:after="120" w:line="276" w:lineRule="auto"/>
        <w:ind w:left="1134" w:hanging="283"/>
        <w:jc w:val="both"/>
        <w:rPr>
          <w:rFonts w:ascii="Times New Roman" w:hAnsi="Times New Roman" w:cs="Times New Roman"/>
          <w:bCs/>
          <w:sz w:val="24"/>
        </w:rPr>
      </w:pPr>
      <w:r w:rsidRPr="00C67CA3">
        <w:rPr>
          <w:rFonts w:ascii="Times New Roman" w:hAnsi="Times New Roman" w:cs="Times New Roman"/>
          <w:bCs/>
          <w:sz w:val="24"/>
        </w:rPr>
        <w:t xml:space="preserve">водосборна област при река Зелениковска </w:t>
      </w:r>
    </w:p>
    <w:p w14:paraId="2E2C6F8F" w14:textId="77777777" w:rsidR="009F4EFF" w:rsidRPr="00C67CA3" w:rsidRDefault="009F4EFF" w:rsidP="00891C26">
      <w:pPr>
        <w:pStyle w:val="BodyText"/>
        <w:spacing w:line="276" w:lineRule="auto"/>
        <w:ind w:firstLine="851"/>
        <w:jc w:val="both"/>
      </w:pPr>
      <w:r w:rsidRPr="00C67CA3">
        <w:t>Съществената част от водоснабдяването се извършва от язовирите по гравитачен път, като помпи се използват за пр</w:t>
      </w:r>
      <w:r w:rsidR="006B3602" w:rsidRPr="00C67CA3">
        <w:t>и</w:t>
      </w:r>
      <w:r w:rsidRPr="00C67CA3">
        <w:t>движване на водата през преносни тръби за захранване на районите с по-голяма надморска височина.</w:t>
      </w:r>
    </w:p>
    <w:p w14:paraId="79C08521" w14:textId="77777777" w:rsidR="009F4EFF" w:rsidRPr="00C67CA3" w:rsidRDefault="009F4EFF" w:rsidP="00891C26">
      <w:pPr>
        <w:pStyle w:val="BodyText"/>
        <w:spacing w:line="276" w:lineRule="auto"/>
        <w:ind w:firstLine="851"/>
        <w:jc w:val="both"/>
      </w:pPr>
      <w:r w:rsidRPr="00C67CA3">
        <w:t xml:space="preserve">За пречистване на питейни води са изградени две пречиствателни станции до </w:t>
      </w:r>
      <w:r w:rsidR="006B3602" w:rsidRPr="00C67CA3">
        <w:t xml:space="preserve">двата </w:t>
      </w:r>
      <w:r w:rsidRPr="00C67CA3">
        <w:t>основни язовира</w:t>
      </w:r>
      <w:r w:rsidR="00725061" w:rsidRPr="00C67CA3">
        <w:t xml:space="preserve"> – </w:t>
      </w:r>
      <w:r w:rsidRPr="00C67CA3">
        <w:t xml:space="preserve">ПСПВ Камчия и ПСПВ Ясна </w:t>
      </w:r>
      <w:r w:rsidR="006B3602" w:rsidRPr="00C67CA3">
        <w:t>П</w:t>
      </w:r>
      <w:r w:rsidRPr="00C67CA3">
        <w:t>оляна.</w:t>
      </w:r>
    </w:p>
    <w:p w14:paraId="69C04E6D" w14:textId="77777777" w:rsidR="009F4EFF" w:rsidRPr="00C67CA3" w:rsidRDefault="009F4EFF" w:rsidP="00891C26">
      <w:pPr>
        <w:pStyle w:val="BodyText"/>
        <w:spacing w:line="276" w:lineRule="auto"/>
        <w:ind w:firstLine="851"/>
        <w:jc w:val="both"/>
      </w:pPr>
      <w:r w:rsidRPr="00C67CA3">
        <w:t>Разпределителната система се състои от смесена мрежа</w:t>
      </w:r>
      <w:r w:rsidR="006B3602" w:rsidRPr="00C67CA3">
        <w:t>,</w:t>
      </w:r>
      <w:r w:rsidRPr="00C67CA3">
        <w:t xml:space="preserve"> състояща се от различни п</w:t>
      </w:r>
      <w:r w:rsidR="006B3602" w:rsidRPr="00C67CA3">
        <w:t xml:space="preserve">о възраст и материали тръби. От </w:t>
      </w:r>
      <w:r w:rsidRPr="00C67CA3">
        <w:t>това произтича и относително постоянния</w:t>
      </w:r>
      <w:r w:rsidR="006B3602" w:rsidRPr="00C67CA3">
        <w:t>т</w:t>
      </w:r>
      <w:r w:rsidRPr="00C67CA3">
        <w:t xml:space="preserve"> брой на авариите. Създадена е необходимата организация за своевременното им регистриране и отстраня</w:t>
      </w:r>
      <w:r w:rsidR="006B3602" w:rsidRPr="00C67CA3">
        <w:t>ва</w:t>
      </w:r>
      <w:r w:rsidRPr="00C67CA3">
        <w:t xml:space="preserve">не, осигурена е непрекъснатост на водоподаването на територията на </w:t>
      </w:r>
      <w:r w:rsidR="006B3602" w:rsidRPr="00C67CA3">
        <w:t>Д</w:t>
      </w:r>
      <w:r w:rsidRPr="00C67CA3">
        <w:t>ружеството.</w:t>
      </w:r>
    </w:p>
    <w:p w14:paraId="118DAD27" w14:textId="77777777" w:rsidR="008F51A0" w:rsidRPr="00C67CA3" w:rsidRDefault="009F4EFF" w:rsidP="00891C26">
      <w:pPr>
        <w:pStyle w:val="BodyText"/>
        <w:spacing w:line="276" w:lineRule="auto"/>
        <w:ind w:firstLine="851"/>
        <w:jc w:val="both"/>
      </w:pPr>
      <w:r w:rsidRPr="00C67CA3">
        <w:t xml:space="preserve">През </w:t>
      </w:r>
      <w:r w:rsidR="00435801" w:rsidRPr="00C67CA3">
        <w:t>201</w:t>
      </w:r>
      <w:r w:rsidR="0003385A">
        <w:t>9</w:t>
      </w:r>
      <w:r w:rsidR="00435801" w:rsidRPr="00C67CA3">
        <w:t xml:space="preserve"> </w:t>
      </w:r>
      <w:r w:rsidRPr="00C67CA3">
        <w:t>г</w:t>
      </w:r>
      <w:r w:rsidR="007E7782" w:rsidRPr="00C67CA3">
        <w:rPr>
          <w:color w:val="FF0000"/>
        </w:rPr>
        <w:t xml:space="preserve">. </w:t>
      </w:r>
      <w:r w:rsidR="006A40AA" w:rsidRPr="006A40AA">
        <w:t>82,</w:t>
      </w:r>
      <w:r w:rsidR="00AC19C4">
        <w:t>29</w:t>
      </w:r>
      <w:r w:rsidR="000F77FA" w:rsidRPr="00C67CA3">
        <w:t>% от</w:t>
      </w:r>
      <w:r w:rsidRPr="00C67CA3">
        <w:t xml:space="preserve"> населението на бургаския регион е снабдено с канализационна система. Повечето от районите в Бургас имат изградена канализация предимно от бетонни тръби. Съществуват </w:t>
      </w:r>
      <w:r w:rsidR="0003385A">
        <w:t>77</w:t>
      </w:r>
      <w:r w:rsidRPr="00C67CA3">
        <w:t xml:space="preserve"> помпени станции.</w:t>
      </w:r>
    </w:p>
    <w:p w14:paraId="033866D2" w14:textId="77777777" w:rsidR="008F51A0" w:rsidRPr="00C67CA3" w:rsidRDefault="008F51A0" w:rsidP="00891C26">
      <w:pPr>
        <w:pStyle w:val="BodyText"/>
        <w:spacing w:line="276" w:lineRule="auto"/>
        <w:ind w:firstLine="851"/>
        <w:jc w:val="both"/>
      </w:pPr>
      <w:r w:rsidRPr="00CE64F5">
        <w:t>Отпадните води</w:t>
      </w:r>
      <w:r w:rsidRPr="00C67CA3">
        <w:t xml:space="preserve"> на град Бургас се отвеждат чрез колектори до двете пречиствателни станции – ПСОВ Бургас – реконструирана през 2009 г. за 7 802 хил. лв. средства на ЕБВР и ПСОВ Меден Рудник, построена с безвъзмездна финансова помощ по програма ИСПА на Община Бургас и експлоатирана от Дружеството от 2010 г.</w:t>
      </w:r>
    </w:p>
    <w:p w14:paraId="25CD3BDD" w14:textId="77777777" w:rsidR="008F51A0" w:rsidRPr="00C67CA3" w:rsidRDefault="008F51A0" w:rsidP="00891C26">
      <w:pPr>
        <w:pStyle w:val="BodyText"/>
        <w:spacing w:line="276" w:lineRule="auto"/>
        <w:ind w:firstLine="851"/>
        <w:jc w:val="both"/>
      </w:pPr>
      <w:r w:rsidRPr="00C67CA3">
        <w:t>Дружеството обслужва още седем ПСОВ – в Равда, Китен, Поморие, Обзор, Царево, Лозенец и Люляково. Пречиствателните станции за отпадни води в Бургас, Равда и Китен са били в активите на Дружеството до края на март 201</w:t>
      </w:r>
      <w:r w:rsidR="0037216D">
        <w:rPr>
          <w:lang w:val="en-US"/>
        </w:rPr>
        <w:t>7</w:t>
      </w:r>
      <w:r w:rsidRPr="00C67CA3">
        <w:t xml:space="preserve"> година, и заедно с останалите пет – Поморие, Обзор, Царево, Лозенец и Люляково са предадени за ползване от съответните общини.</w:t>
      </w:r>
    </w:p>
    <w:p w14:paraId="4D7E6241" w14:textId="77777777" w:rsidR="008F51A0" w:rsidRPr="00C67CA3" w:rsidRDefault="008F51A0" w:rsidP="00891C26">
      <w:pPr>
        <w:pStyle w:val="BodyText"/>
        <w:spacing w:line="276" w:lineRule="auto"/>
        <w:ind w:firstLine="851"/>
        <w:jc w:val="both"/>
      </w:pPr>
      <w:r w:rsidRPr="00C67CA3">
        <w:t>През 201</w:t>
      </w:r>
      <w:r w:rsidR="00F55DBA">
        <w:t>9</w:t>
      </w:r>
      <w:r w:rsidRPr="00C67CA3">
        <w:t xml:space="preserve"> година, чрез договор с Асоциацията по водите за регион Бургас, са предадени за експлоатация и ново изградените и ново въведени в експлоатация пречиствателни станции: ПСОВ „Ветрен”, гр. Бургас, ПСОВ „Г. езерово”, гр. Бургас, </w:t>
      </w:r>
      <w:r w:rsidRPr="00C67CA3">
        <w:lastRenderedPageBreak/>
        <w:t xml:space="preserve">ПСОВ „Созопол”, ПСОВ „Веселие”, ПСОВ „Манолич”, ПСОВ „Пирне”, ПСОВ „Средец”. Не са </w:t>
      </w:r>
      <w:r w:rsidR="00F55DBA">
        <w:t>предадени</w:t>
      </w:r>
      <w:r w:rsidRPr="00C67CA3">
        <w:t xml:space="preserve">  </w:t>
      </w:r>
      <w:r w:rsidR="00F55DBA">
        <w:t>за</w:t>
      </w:r>
      <w:r w:rsidRPr="00C67CA3">
        <w:t xml:space="preserve"> експлоатация следните изградени пречиствателни станции: ПСОВ „Равна гора”, ПСОВ „Маринка” и ПСОВ „Кръстина”.</w:t>
      </w:r>
    </w:p>
    <w:p w14:paraId="048C47B6" w14:textId="77777777" w:rsidR="008F51A0" w:rsidRPr="00C67CA3" w:rsidRDefault="008F51A0" w:rsidP="00891C26">
      <w:pPr>
        <w:pStyle w:val="BodyText"/>
        <w:spacing w:line="276" w:lineRule="auto"/>
        <w:ind w:firstLine="851"/>
        <w:jc w:val="both"/>
      </w:pPr>
      <w:r w:rsidRPr="00C67CA3">
        <w:t>От цялата водоснабдителна система се вземат проби от питейната вода на населените места, както и от двете пречиствателни станции, ПСПВ „Камчия” и ПСПВ „Ясна поляна”. Пробонабирането е съгласно  изискванията на Наредба № 9 от 16.03.2001 г. за качеството на водата предназначена за питейно-битови цели.</w:t>
      </w:r>
    </w:p>
    <w:p w14:paraId="14A7BA68" w14:textId="77777777" w:rsidR="00D61E87" w:rsidRPr="003313FE" w:rsidRDefault="007E7782" w:rsidP="00891C26">
      <w:pPr>
        <w:pStyle w:val="BodyText"/>
        <w:spacing w:line="276" w:lineRule="auto"/>
        <w:ind w:firstLine="851"/>
        <w:jc w:val="both"/>
      </w:pPr>
      <w:r w:rsidRPr="00C67CA3">
        <w:t xml:space="preserve">Съгласно писмо на РЗИ – Бургас за резултатите за съответствие по Наредба  № 9 от 16.03.2001 г. за качеството на водата, предназначена за питейно-битови цели по </w:t>
      </w:r>
      <w:r w:rsidRPr="003313FE">
        <w:t>показател „колиформи“ показателите за 201</w:t>
      </w:r>
      <w:r w:rsidR="008609E2">
        <w:rPr>
          <w:lang w:val="en-GB"/>
        </w:rPr>
        <w:t>9</w:t>
      </w:r>
      <w:r w:rsidRPr="003313FE">
        <w:t xml:space="preserve"> г.</w:t>
      </w:r>
      <w:r w:rsidR="00B274A5">
        <w:t xml:space="preserve"> </w:t>
      </w:r>
      <w:r w:rsidRPr="003313FE">
        <w:t>са:</w:t>
      </w:r>
    </w:p>
    <w:p w14:paraId="01A6DE7C" w14:textId="77777777" w:rsidR="00D61E87" w:rsidRPr="003313FE" w:rsidRDefault="007E7782" w:rsidP="00891C26">
      <w:pPr>
        <w:pStyle w:val="10"/>
        <w:numPr>
          <w:ilvl w:val="0"/>
          <w:numId w:val="16"/>
        </w:numPr>
        <w:spacing w:line="276" w:lineRule="auto"/>
        <w:ind w:left="1134" w:hanging="283"/>
        <w:jc w:val="both"/>
        <w:rPr>
          <w:bCs/>
        </w:rPr>
      </w:pPr>
      <w:r w:rsidRPr="003313FE">
        <w:rPr>
          <w:rFonts w:ascii="Times New Roman" w:hAnsi="Times New Roman" w:cs="Times New Roman"/>
          <w:bCs/>
          <w:sz w:val="24"/>
        </w:rPr>
        <w:t xml:space="preserve">за гр. Бургас – </w:t>
      </w:r>
      <w:r w:rsidR="008609E2">
        <w:rPr>
          <w:rFonts w:ascii="Times New Roman" w:hAnsi="Times New Roman" w:cs="Times New Roman"/>
          <w:bCs/>
          <w:sz w:val="24"/>
          <w:lang w:val="en-GB"/>
        </w:rPr>
        <w:t>100.00</w:t>
      </w:r>
      <w:r w:rsidR="003313FE" w:rsidRPr="003313FE">
        <w:rPr>
          <w:rFonts w:ascii="Times New Roman" w:hAnsi="Times New Roman" w:cs="Times New Roman"/>
          <w:bCs/>
          <w:sz w:val="24"/>
        </w:rPr>
        <w:t xml:space="preserve"> </w:t>
      </w:r>
      <w:r w:rsidRPr="003313FE">
        <w:rPr>
          <w:rFonts w:ascii="Times New Roman" w:hAnsi="Times New Roman" w:cs="Times New Roman"/>
          <w:bCs/>
          <w:sz w:val="24"/>
        </w:rPr>
        <w:t>%</w:t>
      </w:r>
    </w:p>
    <w:p w14:paraId="79B1DF16" w14:textId="77777777" w:rsidR="00D61E87" w:rsidRPr="003313FE" w:rsidRDefault="007E7782" w:rsidP="00891C26">
      <w:pPr>
        <w:pStyle w:val="10"/>
        <w:numPr>
          <w:ilvl w:val="0"/>
          <w:numId w:val="16"/>
        </w:numPr>
        <w:spacing w:line="276" w:lineRule="auto"/>
        <w:ind w:left="1134" w:hanging="283"/>
        <w:jc w:val="both"/>
        <w:rPr>
          <w:bCs/>
        </w:rPr>
      </w:pPr>
      <w:r w:rsidRPr="003313FE">
        <w:rPr>
          <w:rFonts w:ascii="Times New Roman" w:hAnsi="Times New Roman" w:cs="Times New Roman"/>
          <w:bCs/>
          <w:sz w:val="24"/>
        </w:rPr>
        <w:t xml:space="preserve">за Бургаска област – </w:t>
      </w:r>
      <w:r w:rsidR="00BB1DB8">
        <w:rPr>
          <w:rFonts w:ascii="Times New Roman" w:hAnsi="Times New Roman" w:cs="Times New Roman"/>
          <w:bCs/>
          <w:sz w:val="24"/>
          <w:lang w:val="en-GB"/>
        </w:rPr>
        <w:t>88.</w:t>
      </w:r>
      <w:r w:rsidR="008609E2">
        <w:rPr>
          <w:rFonts w:ascii="Times New Roman" w:hAnsi="Times New Roman" w:cs="Times New Roman"/>
          <w:bCs/>
          <w:sz w:val="24"/>
          <w:lang w:val="en-GB"/>
        </w:rPr>
        <w:t>65</w:t>
      </w:r>
      <w:r w:rsidR="003313FE" w:rsidRPr="003313FE">
        <w:rPr>
          <w:rFonts w:ascii="Times New Roman" w:hAnsi="Times New Roman" w:cs="Times New Roman"/>
          <w:bCs/>
          <w:sz w:val="24"/>
        </w:rPr>
        <w:t xml:space="preserve"> </w:t>
      </w:r>
      <w:r w:rsidRPr="003313FE">
        <w:rPr>
          <w:rFonts w:ascii="Times New Roman" w:hAnsi="Times New Roman" w:cs="Times New Roman"/>
          <w:bCs/>
          <w:sz w:val="24"/>
        </w:rPr>
        <w:t>%</w:t>
      </w:r>
    </w:p>
    <w:p w14:paraId="37C836FF" w14:textId="77777777" w:rsidR="00D61E87" w:rsidRPr="00385546" w:rsidRDefault="00D61E87" w:rsidP="00891C26">
      <w:pPr>
        <w:pStyle w:val="ListParagraph"/>
        <w:widowControl/>
        <w:tabs>
          <w:tab w:val="left" w:pos="993"/>
        </w:tabs>
        <w:autoSpaceDE/>
        <w:autoSpaceDN/>
        <w:adjustRightInd/>
        <w:spacing w:after="240" w:line="276" w:lineRule="auto"/>
        <w:ind w:left="851" w:hanging="284"/>
        <w:jc w:val="both"/>
        <w:rPr>
          <w:color w:val="FF0000"/>
        </w:rPr>
      </w:pPr>
    </w:p>
    <w:p w14:paraId="16F29826" w14:textId="77777777" w:rsidR="009F4EFF" w:rsidRPr="00C67CA3" w:rsidRDefault="009F4EFF" w:rsidP="00891C26">
      <w:pPr>
        <w:pStyle w:val="ListParagraph"/>
        <w:widowControl/>
        <w:numPr>
          <w:ilvl w:val="1"/>
          <w:numId w:val="30"/>
        </w:numPr>
        <w:tabs>
          <w:tab w:val="left" w:pos="1134"/>
        </w:tabs>
        <w:autoSpaceDE/>
        <w:autoSpaceDN/>
        <w:adjustRightInd/>
        <w:spacing w:before="240" w:line="276" w:lineRule="auto"/>
        <w:ind w:left="1134" w:hanging="283"/>
        <w:jc w:val="both"/>
        <w:rPr>
          <w:b/>
          <w:bCs/>
        </w:rPr>
      </w:pPr>
      <w:r w:rsidRPr="00C67CA3">
        <w:rPr>
          <w:b/>
          <w:bCs/>
        </w:rPr>
        <w:t>Финансов анализ</w:t>
      </w:r>
    </w:p>
    <w:p w14:paraId="73C3B687" w14:textId="77777777" w:rsidR="009F4EFF" w:rsidRPr="00C67CA3" w:rsidRDefault="00AE2C0E" w:rsidP="00891C26">
      <w:pPr>
        <w:pStyle w:val="BodyText"/>
        <w:spacing w:line="276" w:lineRule="auto"/>
        <w:ind w:firstLine="851"/>
        <w:jc w:val="both"/>
      </w:pPr>
      <w:r w:rsidRPr="00C67CA3">
        <w:t>„</w:t>
      </w:r>
      <w:r w:rsidR="000F77FA" w:rsidRPr="00C67CA3">
        <w:t>Водоснабдяване и канализация” ЕАД</w:t>
      </w:r>
      <w:r w:rsidR="00783C73" w:rsidRPr="00C67CA3">
        <w:t>,</w:t>
      </w:r>
      <w:r w:rsidR="000F77FA" w:rsidRPr="00C67CA3">
        <w:t xml:space="preserve"> Бургас доставя вода по две водоснабдителни системи- система “Камчия”, по която се доставя вода за “В и К” Варна и система “Бургас”, която водоснабдява обществени и частни потребители на Бургаски регион.</w:t>
      </w:r>
    </w:p>
    <w:p w14:paraId="363E593F" w14:textId="77777777" w:rsidR="00835A5A" w:rsidRPr="00E20FCA" w:rsidRDefault="000F77FA" w:rsidP="00891C26">
      <w:pPr>
        <w:pStyle w:val="BodyText"/>
        <w:spacing w:line="276" w:lineRule="auto"/>
        <w:ind w:firstLine="851"/>
        <w:jc w:val="both"/>
      </w:pPr>
      <w:r w:rsidRPr="00E20FCA">
        <w:t>Подадената вода за система Бургас за 201</w:t>
      </w:r>
      <w:r w:rsidR="008609E2">
        <w:rPr>
          <w:lang w:val="en-GB"/>
        </w:rPr>
        <w:t>9</w:t>
      </w:r>
      <w:r w:rsidRPr="00E20FCA">
        <w:t xml:space="preserve"> г. е </w:t>
      </w:r>
      <w:r w:rsidR="008609E2">
        <w:rPr>
          <w:lang w:val="en-GB"/>
        </w:rPr>
        <w:t>60</w:t>
      </w:r>
      <w:r w:rsidR="00BB1DB8">
        <w:rPr>
          <w:lang w:val="en-GB"/>
        </w:rPr>
        <w:t xml:space="preserve"> </w:t>
      </w:r>
      <w:r w:rsidR="008609E2">
        <w:rPr>
          <w:lang w:val="en-GB"/>
        </w:rPr>
        <w:t>083</w:t>
      </w:r>
      <w:r w:rsidRPr="00E20FCA">
        <w:t xml:space="preserve"> хил. м</w:t>
      </w:r>
      <w:r w:rsidRPr="00AB2F52">
        <w:rPr>
          <w:vertAlign w:val="superscript"/>
        </w:rPr>
        <w:t>3</w:t>
      </w:r>
      <w:r w:rsidRPr="00E20FCA">
        <w:t xml:space="preserve">, а за </w:t>
      </w:r>
      <w:r w:rsidR="00AE2C0E" w:rsidRPr="00E20FCA">
        <w:t>„</w:t>
      </w:r>
      <w:r w:rsidRPr="00E20FCA">
        <w:t xml:space="preserve">Водоснабдяване и канализация – Варна” ООД </w:t>
      </w:r>
      <w:r w:rsidR="008609E2">
        <w:rPr>
          <w:lang w:val="en-GB"/>
        </w:rPr>
        <w:t>38</w:t>
      </w:r>
      <w:r w:rsidR="00BB1DB8">
        <w:rPr>
          <w:lang w:val="en-GB"/>
        </w:rPr>
        <w:t xml:space="preserve"> </w:t>
      </w:r>
      <w:r w:rsidR="008609E2">
        <w:rPr>
          <w:lang w:val="en-GB"/>
        </w:rPr>
        <w:t>505</w:t>
      </w:r>
      <w:r w:rsidR="007E7782" w:rsidRPr="00E20FCA">
        <w:t xml:space="preserve"> </w:t>
      </w:r>
      <w:r w:rsidRPr="00E20FCA">
        <w:t>хил. м</w:t>
      </w:r>
      <w:r w:rsidRPr="00AB2F52">
        <w:rPr>
          <w:vertAlign w:val="superscript"/>
        </w:rPr>
        <w:t>3</w:t>
      </w:r>
      <w:r w:rsidRPr="00E20FCA">
        <w:t xml:space="preserve">. Отчетените количества за продажбата на едро за </w:t>
      </w:r>
      <w:r w:rsidR="00AE2C0E" w:rsidRPr="00E20FCA">
        <w:t>„</w:t>
      </w:r>
      <w:r w:rsidRPr="00E20FCA">
        <w:t xml:space="preserve">Водоснабдяване и канализация – Варна” ООД са </w:t>
      </w:r>
      <w:r w:rsidR="008609E2">
        <w:rPr>
          <w:lang w:val="en-GB"/>
        </w:rPr>
        <w:t>35</w:t>
      </w:r>
      <w:r w:rsidR="0027056B" w:rsidRPr="00E20FCA">
        <w:t> </w:t>
      </w:r>
      <w:r w:rsidR="008609E2">
        <w:rPr>
          <w:lang w:val="en-GB"/>
        </w:rPr>
        <w:t>810</w:t>
      </w:r>
      <w:r w:rsidR="0027056B" w:rsidRPr="00E20FCA">
        <w:t xml:space="preserve"> </w:t>
      </w:r>
      <w:r w:rsidRPr="00E20FCA">
        <w:t>хил. м</w:t>
      </w:r>
      <w:r w:rsidRPr="00AB2F52">
        <w:rPr>
          <w:vertAlign w:val="superscript"/>
        </w:rPr>
        <w:t>3</w:t>
      </w:r>
      <w:r w:rsidRPr="00E20FCA">
        <w:t xml:space="preserve">. Тук са отчетени технологични загуби </w:t>
      </w:r>
      <w:r w:rsidR="00BB1DB8">
        <w:rPr>
          <w:lang w:val="en-GB"/>
        </w:rPr>
        <w:t>7</w:t>
      </w:r>
      <w:r w:rsidR="00C76277" w:rsidRPr="00E20FCA">
        <w:t>,</w:t>
      </w:r>
      <w:r w:rsidR="008609E2">
        <w:rPr>
          <w:lang w:val="en-GB"/>
        </w:rPr>
        <w:t>00</w:t>
      </w:r>
      <w:r w:rsidRPr="00E20FCA">
        <w:t xml:space="preserve">%. Фактурираните количества за система Бургас са </w:t>
      </w:r>
      <w:r w:rsidR="007E7782" w:rsidRPr="00E20FCA">
        <w:t>28</w:t>
      </w:r>
      <w:r w:rsidR="00BB1DB8">
        <w:rPr>
          <w:lang w:val="en-GB"/>
        </w:rPr>
        <w:t xml:space="preserve"> </w:t>
      </w:r>
      <w:r w:rsidR="008609E2">
        <w:rPr>
          <w:lang w:val="en-GB"/>
        </w:rPr>
        <w:t>166</w:t>
      </w:r>
      <w:r w:rsidRPr="00E20FCA">
        <w:t xml:space="preserve"> хил. м</w:t>
      </w:r>
      <w:r w:rsidRPr="00AB2F52">
        <w:rPr>
          <w:vertAlign w:val="superscript"/>
        </w:rPr>
        <w:t>3</w:t>
      </w:r>
      <w:r w:rsidRPr="00E20FCA">
        <w:t xml:space="preserve">. Загубите по тази система са </w:t>
      </w:r>
      <w:r w:rsidR="008E5ECB" w:rsidRPr="00E20FCA">
        <w:t>5</w:t>
      </w:r>
      <w:r w:rsidR="008609E2">
        <w:rPr>
          <w:lang w:val="en-GB"/>
        </w:rPr>
        <w:t>3</w:t>
      </w:r>
      <w:r w:rsidR="00BB1DB8">
        <w:rPr>
          <w:lang w:val="en-GB"/>
        </w:rPr>
        <w:t>,</w:t>
      </w:r>
      <w:r w:rsidR="008609E2">
        <w:rPr>
          <w:lang w:val="en-GB"/>
        </w:rPr>
        <w:t>12</w:t>
      </w:r>
      <w:r w:rsidRPr="00E20FCA">
        <w:t>%.</w:t>
      </w:r>
    </w:p>
    <w:p w14:paraId="10F297A3" w14:textId="77777777" w:rsidR="008603D3" w:rsidRPr="00A1695A" w:rsidRDefault="000F77FA" w:rsidP="00891C26">
      <w:pPr>
        <w:pStyle w:val="BodyText"/>
        <w:spacing w:line="276" w:lineRule="auto"/>
        <w:ind w:firstLine="851"/>
        <w:jc w:val="both"/>
        <w:rPr>
          <w:lang w:val="en-GB"/>
        </w:rPr>
      </w:pPr>
      <w:r w:rsidRPr="00714448">
        <w:t xml:space="preserve">През отчетната година цените за предоставяните </w:t>
      </w:r>
      <w:r w:rsidR="004F3B48" w:rsidRPr="00714448">
        <w:t xml:space="preserve">ВиК </w:t>
      </w:r>
      <w:r w:rsidRPr="00714448">
        <w:t>услуги</w:t>
      </w:r>
      <w:r w:rsidR="00E20FCA" w:rsidRPr="00714448">
        <w:t xml:space="preserve"> </w:t>
      </w:r>
      <w:r w:rsidR="00B66D13">
        <w:t xml:space="preserve">са увеличени </w:t>
      </w:r>
      <w:r w:rsidR="00E20FCA" w:rsidRPr="00714448">
        <w:t xml:space="preserve">с Решение </w:t>
      </w:r>
      <w:r w:rsidR="00714448" w:rsidRPr="00714448">
        <w:t xml:space="preserve"> </w:t>
      </w:r>
      <w:r w:rsidR="00714448" w:rsidRPr="00714448">
        <w:rPr>
          <w:bCs/>
        </w:rPr>
        <w:t>№ Ц-</w:t>
      </w:r>
      <w:r w:rsidR="008609E2">
        <w:rPr>
          <w:bCs/>
          <w:lang w:val="en-GB"/>
        </w:rPr>
        <w:t>20</w:t>
      </w:r>
      <w:r w:rsidR="00714448" w:rsidRPr="00714448">
        <w:rPr>
          <w:bCs/>
        </w:rPr>
        <w:t xml:space="preserve"> от </w:t>
      </w:r>
      <w:r w:rsidR="008609E2">
        <w:rPr>
          <w:bCs/>
          <w:lang w:val="en-GB"/>
        </w:rPr>
        <w:t>28</w:t>
      </w:r>
      <w:r w:rsidR="00714448" w:rsidRPr="00714448">
        <w:rPr>
          <w:bCs/>
        </w:rPr>
        <w:t>.1</w:t>
      </w:r>
      <w:r w:rsidR="00BB1DB8">
        <w:rPr>
          <w:bCs/>
        </w:rPr>
        <w:t>2</w:t>
      </w:r>
      <w:r w:rsidR="00714448" w:rsidRPr="00714448">
        <w:rPr>
          <w:bCs/>
        </w:rPr>
        <w:t>.201</w:t>
      </w:r>
      <w:r w:rsidR="008609E2">
        <w:rPr>
          <w:bCs/>
          <w:lang w:val="en-GB"/>
        </w:rPr>
        <w:t>8</w:t>
      </w:r>
      <w:r w:rsidR="00714448" w:rsidRPr="00714448">
        <w:rPr>
          <w:bCs/>
        </w:rPr>
        <w:t xml:space="preserve"> г.</w:t>
      </w:r>
      <w:r w:rsidR="00714448">
        <w:rPr>
          <w:bCs/>
        </w:rPr>
        <w:t xml:space="preserve"> на </w:t>
      </w:r>
      <w:r w:rsidR="00714448" w:rsidRPr="004E1CAD">
        <w:t>КЕВР</w:t>
      </w:r>
      <w:r w:rsidR="00714448">
        <w:rPr>
          <w:bCs/>
        </w:rPr>
        <w:t>.</w:t>
      </w:r>
    </w:p>
    <w:p w14:paraId="45B00236" w14:textId="77777777" w:rsidR="00D458DE" w:rsidRPr="002B4CF9" w:rsidRDefault="00D458DE" w:rsidP="002B4CF9">
      <w:pPr>
        <w:pStyle w:val="BodyText"/>
        <w:spacing w:line="276" w:lineRule="auto"/>
        <w:jc w:val="both"/>
      </w:pPr>
    </w:p>
    <w:p w14:paraId="0C519BBA" w14:textId="77777777" w:rsidR="002B4CF9" w:rsidRPr="002B4CF9" w:rsidRDefault="002B4CF9" w:rsidP="002B4CF9">
      <w:pPr>
        <w:pStyle w:val="BodyText"/>
        <w:spacing w:line="276" w:lineRule="auto"/>
        <w:jc w:val="center"/>
      </w:pPr>
      <w:r w:rsidRPr="00E75E60">
        <w:rPr>
          <w:b/>
          <w:bCs/>
          <w:sz w:val="22"/>
          <w:szCs w:val="22"/>
        </w:rPr>
        <w:t>ИНФОРМАЦИЯ ЗА ЕФЕКТИВНОСТ НА ПРОИЗВОДСТВЕНАТА ДЕЙНОСТ</w:t>
      </w:r>
    </w:p>
    <w:p w14:paraId="31CFD456" w14:textId="77777777" w:rsidR="002B4CF9" w:rsidRDefault="002B4CF9" w:rsidP="002B4CF9">
      <w:pPr>
        <w:pStyle w:val="BodyText"/>
        <w:spacing w:line="276" w:lineRule="auto"/>
        <w:jc w:val="center"/>
        <w:rPr>
          <w:b/>
          <w:bCs/>
          <w:sz w:val="20"/>
          <w:szCs w:val="20"/>
        </w:rPr>
      </w:pPr>
      <w:r w:rsidRPr="00E75E60">
        <w:rPr>
          <w:b/>
          <w:bCs/>
          <w:sz w:val="20"/>
          <w:szCs w:val="20"/>
        </w:rPr>
        <w:t>ВОДОСНАБДЯВАНЕ И КАНАЛИЗАЦИЯ ЕАД БУРГАС</w:t>
      </w:r>
    </w:p>
    <w:p w14:paraId="0D11AFB4" w14:textId="77777777" w:rsidR="002B4CF9" w:rsidRPr="002B4CF9" w:rsidRDefault="002B4CF9" w:rsidP="002B4CF9">
      <w:pPr>
        <w:pStyle w:val="BodyText"/>
        <w:spacing w:line="276" w:lineRule="auto"/>
        <w:jc w:val="center"/>
      </w:pPr>
      <w:r w:rsidRPr="00E75E60">
        <w:rPr>
          <w:b/>
          <w:bCs/>
          <w:sz w:val="20"/>
          <w:szCs w:val="20"/>
        </w:rPr>
        <w:t>01.01.201</w:t>
      </w:r>
      <w:r>
        <w:rPr>
          <w:b/>
          <w:bCs/>
          <w:sz w:val="20"/>
          <w:szCs w:val="20"/>
        </w:rPr>
        <w:t>9</w:t>
      </w:r>
      <w:r w:rsidRPr="00E75E60">
        <w:rPr>
          <w:b/>
          <w:bCs/>
          <w:sz w:val="20"/>
          <w:szCs w:val="20"/>
        </w:rPr>
        <w:t>-31.12.201</w:t>
      </w:r>
      <w:r>
        <w:rPr>
          <w:b/>
          <w:bCs/>
          <w:sz w:val="20"/>
          <w:szCs w:val="20"/>
          <w:lang w:val="en-GB"/>
        </w:rPr>
        <w:t>9</w:t>
      </w:r>
      <w:r w:rsidRPr="00E75E60">
        <w:rPr>
          <w:b/>
          <w:bCs/>
          <w:sz w:val="20"/>
          <w:szCs w:val="20"/>
        </w:rPr>
        <w:t xml:space="preserve"> год.</w:t>
      </w:r>
    </w:p>
    <w:tbl>
      <w:tblPr>
        <w:tblW w:w="9291" w:type="dxa"/>
        <w:tblInd w:w="80" w:type="dxa"/>
        <w:tblCellMar>
          <w:left w:w="70" w:type="dxa"/>
          <w:right w:w="70" w:type="dxa"/>
        </w:tblCellMar>
        <w:tblLook w:val="04A0" w:firstRow="1" w:lastRow="0" w:firstColumn="1" w:lastColumn="0" w:noHBand="0" w:noVBand="1"/>
      </w:tblPr>
      <w:tblGrid>
        <w:gridCol w:w="6647"/>
        <w:gridCol w:w="1489"/>
        <w:gridCol w:w="1155"/>
      </w:tblGrid>
      <w:tr w:rsidR="002B4CF9" w:rsidRPr="00A1695A" w14:paraId="13E2161C" w14:textId="77777777" w:rsidTr="002B4CF9">
        <w:trPr>
          <w:trHeight w:val="1098"/>
        </w:trPr>
        <w:tc>
          <w:tcPr>
            <w:tcW w:w="664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A8E324D" w14:textId="77777777" w:rsidR="002B4CF9" w:rsidRPr="00A1695A" w:rsidRDefault="002B4CF9" w:rsidP="00711B2B">
            <w:pPr>
              <w:widowControl/>
              <w:autoSpaceDE/>
              <w:autoSpaceDN/>
              <w:adjustRightInd/>
              <w:spacing w:line="276" w:lineRule="auto"/>
              <w:jc w:val="center"/>
              <w:rPr>
                <w:b/>
                <w:bCs/>
                <w:sz w:val="20"/>
                <w:szCs w:val="20"/>
              </w:rPr>
            </w:pPr>
            <w:r w:rsidRPr="00A1695A">
              <w:rPr>
                <w:b/>
                <w:bCs/>
                <w:sz w:val="20"/>
                <w:szCs w:val="20"/>
              </w:rPr>
              <w:t>Показатели за ефективност на производствената дейност</w:t>
            </w:r>
          </w:p>
        </w:tc>
        <w:tc>
          <w:tcPr>
            <w:tcW w:w="1489" w:type="dxa"/>
            <w:tcBorders>
              <w:top w:val="single" w:sz="8" w:space="0" w:color="auto"/>
              <w:left w:val="nil"/>
              <w:bottom w:val="single" w:sz="8" w:space="0" w:color="auto"/>
              <w:right w:val="single" w:sz="4" w:space="0" w:color="auto"/>
            </w:tcBorders>
            <w:shd w:val="clear" w:color="auto" w:fill="auto"/>
            <w:vAlign w:val="center"/>
            <w:hideMark/>
          </w:tcPr>
          <w:p w14:paraId="3C2CB0BB" w14:textId="77777777" w:rsidR="002B4CF9" w:rsidRPr="00A1695A" w:rsidRDefault="002B4CF9" w:rsidP="00711B2B">
            <w:pPr>
              <w:widowControl/>
              <w:autoSpaceDE/>
              <w:autoSpaceDN/>
              <w:adjustRightInd/>
              <w:spacing w:line="276" w:lineRule="auto"/>
              <w:jc w:val="center"/>
              <w:rPr>
                <w:b/>
                <w:bCs/>
                <w:sz w:val="20"/>
                <w:szCs w:val="20"/>
              </w:rPr>
            </w:pPr>
            <w:r w:rsidRPr="00A1695A">
              <w:rPr>
                <w:b/>
                <w:bCs/>
                <w:sz w:val="20"/>
                <w:szCs w:val="20"/>
              </w:rPr>
              <w:t>По представения бизнес-план</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14:paraId="1984BA0C" w14:textId="77777777" w:rsidR="002B4CF9" w:rsidRPr="00A1695A" w:rsidRDefault="002B4CF9" w:rsidP="00711B2B">
            <w:pPr>
              <w:widowControl/>
              <w:autoSpaceDE/>
              <w:autoSpaceDN/>
              <w:adjustRightInd/>
              <w:spacing w:line="276" w:lineRule="auto"/>
              <w:jc w:val="center"/>
              <w:rPr>
                <w:b/>
                <w:bCs/>
                <w:sz w:val="20"/>
                <w:szCs w:val="20"/>
              </w:rPr>
            </w:pPr>
            <w:r w:rsidRPr="00A1695A">
              <w:rPr>
                <w:b/>
                <w:bCs/>
                <w:sz w:val="20"/>
                <w:szCs w:val="20"/>
              </w:rPr>
              <w:t>За отчетния период</w:t>
            </w:r>
          </w:p>
        </w:tc>
      </w:tr>
      <w:tr w:rsidR="002B4CF9" w:rsidRPr="00A1695A" w14:paraId="00A1EC72"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6376E90A" w14:textId="77777777" w:rsidR="002B4CF9" w:rsidRPr="00A1695A" w:rsidRDefault="002B4CF9" w:rsidP="00711B2B">
            <w:pPr>
              <w:widowControl/>
              <w:autoSpaceDE/>
              <w:autoSpaceDN/>
              <w:adjustRightInd/>
              <w:spacing w:line="276" w:lineRule="auto"/>
              <w:rPr>
                <w:sz w:val="20"/>
                <w:szCs w:val="20"/>
              </w:rPr>
            </w:pPr>
            <w:r w:rsidRPr="00A1695A">
              <w:rPr>
                <w:sz w:val="20"/>
                <w:szCs w:val="20"/>
              </w:rPr>
              <w:t>1. % на обслужваното население</w:t>
            </w:r>
          </w:p>
        </w:tc>
        <w:tc>
          <w:tcPr>
            <w:tcW w:w="1489" w:type="dxa"/>
            <w:tcBorders>
              <w:top w:val="nil"/>
              <w:left w:val="nil"/>
              <w:bottom w:val="single" w:sz="4" w:space="0" w:color="auto"/>
              <w:right w:val="single" w:sz="4" w:space="0" w:color="auto"/>
            </w:tcBorders>
            <w:shd w:val="clear" w:color="auto" w:fill="auto"/>
            <w:noWrap/>
            <w:vAlign w:val="bottom"/>
            <w:hideMark/>
          </w:tcPr>
          <w:p w14:paraId="63D71FAA" w14:textId="77777777" w:rsidR="002B4CF9" w:rsidRPr="00A1695A" w:rsidRDefault="002B4CF9" w:rsidP="00711B2B">
            <w:pPr>
              <w:widowControl/>
              <w:autoSpaceDE/>
              <w:autoSpaceDN/>
              <w:adjustRightInd/>
              <w:spacing w:line="276" w:lineRule="auto"/>
              <w:ind w:left="-66" w:right="278" w:firstLine="66"/>
              <w:jc w:val="center"/>
              <w:rPr>
                <w:sz w:val="20"/>
                <w:szCs w:val="20"/>
              </w:rPr>
            </w:pPr>
            <w:r>
              <w:rPr>
                <w:sz w:val="20"/>
                <w:szCs w:val="20"/>
                <w:lang w:val="en-GB"/>
              </w:rPr>
              <w:t xml:space="preserve">     </w:t>
            </w:r>
            <w:r w:rsidRPr="00A1695A">
              <w:rPr>
                <w:sz w:val="20"/>
                <w:szCs w:val="20"/>
              </w:rPr>
              <w:t>99.9</w:t>
            </w:r>
          </w:p>
        </w:tc>
        <w:tc>
          <w:tcPr>
            <w:tcW w:w="1155" w:type="dxa"/>
            <w:tcBorders>
              <w:top w:val="nil"/>
              <w:left w:val="nil"/>
              <w:bottom w:val="single" w:sz="4" w:space="0" w:color="auto"/>
              <w:right w:val="single" w:sz="8" w:space="0" w:color="auto"/>
            </w:tcBorders>
            <w:shd w:val="clear" w:color="auto" w:fill="auto"/>
            <w:noWrap/>
            <w:vAlign w:val="bottom"/>
            <w:hideMark/>
          </w:tcPr>
          <w:p w14:paraId="4EE6A056"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99.9</w:t>
            </w:r>
          </w:p>
        </w:tc>
      </w:tr>
      <w:tr w:rsidR="002B4CF9" w:rsidRPr="00A1695A" w14:paraId="3A1182DA"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5EF885CA" w14:textId="77777777" w:rsidR="002B4CF9" w:rsidRPr="00A1695A" w:rsidRDefault="002B4CF9" w:rsidP="00711B2B">
            <w:pPr>
              <w:widowControl/>
              <w:autoSpaceDE/>
              <w:autoSpaceDN/>
              <w:adjustRightInd/>
              <w:spacing w:line="276" w:lineRule="auto"/>
              <w:rPr>
                <w:sz w:val="20"/>
                <w:szCs w:val="20"/>
              </w:rPr>
            </w:pPr>
            <w:r w:rsidRPr="00A1695A">
              <w:rPr>
                <w:sz w:val="20"/>
                <w:szCs w:val="20"/>
              </w:rPr>
              <w:t>2. % на обслужваното население с канализация</w:t>
            </w:r>
          </w:p>
        </w:tc>
        <w:tc>
          <w:tcPr>
            <w:tcW w:w="1489" w:type="dxa"/>
            <w:tcBorders>
              <w:top w:val="nil"/>
              <w:left w:val="nil"/>
              <w:bottom w:val="single" w:sz="4" w:space="0" w:color="auto"/>
              <w:right w:val="single" w:sz="4" w:space="0" w:color="auto"/>
            </w:tcBorders>
            <w:shd w:val="clear" w:color="auto" w:fill="auto"/>
            <w:noWrap/>
            <w:vAlign w:val="bottom"/>
            <w:hideMark/>
          </w:tcPr>
          <w:p w14:paraId="7F316EF2"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8</w:t>
            </w:r>
            <w:r>
              <w:rPr>
                <w:sz w:val="20"/>
                <w:szCs w:val="20"/>
                <w:lang w:val="en-GB"/>
              </w:rPr>
              <w:t>2</w:t>
            </w:r>
            <w:r w:rsidRPr="00A1695A">
              <w:rPr>
                <w:sz w:val="20"/>
                <w:szCs w:val="20"/>
              </w:rPr>
              <w:t>.</w:t>
            </w:r>
            <w:r>
              <w:rPr>
                <w:sz w:val="20"/>
                <w:szCs w:val="20"/>
                <w:lang w:val="en-GB"/>
              </w:rPr>
              <w:t>3</w:t>
            </w:r>
          </w:p>
        </w:tc>
        <w:tc>
          <w:tcPr>
            <w:tcW w:w="1155" w:type="dxa"/>
            <w:tcBorders>
              <w:top w:val="nil"/>
              <w:left w:val="nil"/>
              <w:bottom w:val="single" w:sz="4" w:space="0" w:color="auto"/>
              <w:right w:val="single" w:sz="8" w:space="0" w:color="auto"/>
            </w:tcBorders>
            <w:shd w:val="clear" w:color="auto" w:fill="auto"/>
            <w:noWrap/>
            <w:vAlign w:val="bottom"/>
            <w:hideMark/>
          </w:tcPr>
          <w:p w14:paraId="267A3A0B"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82.</w:t>
            </w:r>
            <w:r>
              <w:rPr>
                <w:sz w:val="20"/>
                <w:szCs w:val="20"/>
                <w:lang w:val="en-GB"/>
              </w:rPr>
              <w:t>29</w:t>
            </w:r>
          </w:p>
        </w:tc>
      </w:tr>
      <w:tr w:rsidR="002B4CF9" w:rsidRPr="00A1695A" w14:paraId="2271369D"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4CD5AA47" w14:textId="77777777" w:rsidR="002B4CF9" w:rsidRPr="00A1695A" w:rsidRDefault="002B4CF9" w:rsidP="00711B2B">
            <w:pPr>
              <w:widowControl/>
              <w:autoSpaceDE/>
              <w:autoSpaceDN/>
              <w:adjustRightInd/>
              <w:spacing w:line="276" w:lineRule="auto"/>
              <w:rPr>
                <w:sz w:val="20"/>
                <w:szCs w:val="20"/>
              </w:rPr>
            </w:pPr>
            <w:r w:rsidRPr="00A1695A">
              <w:rPr>
                <w:sz w:val="20"/>
                <w:szCs w:val="20"/>
              </w:rPr>
              <w:t>3. Загуби на вода % ВС Бургас</w:t>
            </w:r>
          </w:p>
        </w:tc>
        <w:tc>
          <w:tcPr>
            <w:tcW w:w="1489" w:type="dxa"/>
            <w:tcBorders>
              <w:top w:val="nil"/>
              <w:left w:val="nil"/>
              <w:bottom w:val="single" w:sz="4" w:space="0" w:color="auto"/>
              <w:right w:val="single" w:sz="4" w:space="0" w:color="auto"/>
            </w:tcBorders>
            <w:shd w:val="clear" w:color="auto" w:fill="auto"/>
            <w:noWrap/>
            <w:vAlign w:val="bottom"/>
            <w:hideMark/>
          </w:tcPr>
          <w:p w14:paraId="3BF251C4"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5</w:t>
            </w:r>
            <w:r>
              <w:rPr>
                <w:sz w:val="20"/>
                <w:szCs w:val="20"/>
                <w:lang w:val="en-GB"/>
              </w:rPr>
              <w:t>1</w:t>
            </w:r>
            <w:r w:rsidRPr="00A1695A">
              <w:rPr>
                <w:sz w:val="20"/>
                <w:szCs w:val="20"/>
              </w:rPr>
              <w:t>.</w:t>
            </w:r>
            <w:r>
              <w:rPr>
                <w:sz w:val="20"/>
                <w:szCs w:val="20"/>
                <w:lang w:val="en-GB"/>
              </w:rPr>
              <w:t>8</w:t>
            </w:r>
            <w:r w:rsidRPr="00A1695A">
              <w:rPr>
                <w:sz w:val="20"/>
                <w:szCs w:val="20"/>
              </w:rPr>
              <w:t>%</w:t>
            </w:r>
          </w:p>
        </w:tc>
        <w:tc>
          <w:tcPr>
            <w:tcW w:w="1155" w:type="dxa"/>
            <w:tcBorders>
              <w:top w:val="nil"/>
              <w:left w:val="nil"/>
              <w:bottom w:val="single" w:sz="4" w:space="0" w:color="auto"/>
              <w:right w:val="single" w:sz="8" w:space="0" w:color="auto"/>
            </w:tcBorders>
            <w:shd w:val="clear" w:color="auto" w:fill="auto"/>
            <w:noWrap/>
            <w:vAlign w:val="bottom"/>
            <w:hideMark/>
          </w:tcPr>
          <w:p w14:paraId="5A379C3A"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5</w:t>
            </w:r>
            <w:r>
              <w:rPr>
                <w:sz w:val="20"/>
                <w:szCs w:val="20"/>
                <w:lang w:val="en-GB"/>
              </w:rPr>
              <w:t>3</w:t>
            </w:r>
            <w:r w:rsidRPr="00A1695A">
              <w:rPr>
                <w:sz w:val="20"/>
                <w:szCs w:val="20"/>
              </w:rPr>
              <w:t>.</w:t>
            </w:r>
            <w:r>
              <w:rPr>
                <w:sz w:val="20"/>
                <w:szCs w:val="20"/>
                <w:lang w:val="en-GB"/>
              </w:rPr>
              <w:t>12</w:t>
            </w:r>
            <w:r w:rsidRPr="00A1695A">
              <w:rPr>
                <w:sz w:val="20"/>
                <w:szCs w:val="20"/>
              </w:rPr>
              <w:t>%</w:t>
            </w:r>
          </w:p>
        </w:tc>
      </w:tr>
      <w:tr w:rsidR="002B4CF9" w:rsidRPr="00A1695A" w14:paraId="5AF96450"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6C48DAD5" w14:textId="77777777" w:rsidR="002B4CF9" w:rsidRPr="00A1695A" w:rsidRDefault="002B4CF9" w:rsidP="00711B2B">
            <w:pPr>
              <w:widowControl/>
              <w:autoSpaceDE/>
              <w:autoSpaceDN/>
              <w:adjustRightInd/>
              <w:spacing w:line="276" w:lineRule="auto"/>
              <w:rPr>
                <w:sz w:val="20"/>
                <w:szCs w:val="20"/>
              </w:rPr>
            </w:pPr>
            <w:r w:rsidRPr="00A1695A">
              <w:rPr>
                <w:sz w:val="20"/>
                <w:szCs w:val="20"/>
              </w:rPr>
              <w:t xml:space="preserve">3. Загуби на вода % ВС Друг </w:t>
            </w:r>
            <w:r>
              <w:rPr>
                <w:sz w:val="20"/>
                <w:szCs w:val="20"/>
              </w:rPr>
              <w:t>оператор</w:t>
            </w:r>
          </w:p>
        </w:tc>
        <w:tc>
          <w:tcPr>
            <w:tcW w:w="1489" w:type="dxa"/>
            <w:tcBorders>
              <w:top w:val="nil"/>
              <w:left w:val="nil"/>
              <w:bottom w:val="single" w:sz="4" w:space="0" w:color="auto"/>
              <w:right w:val="single" w:sz="4" w:space="0" w:color="auto"/>
            </w:tcBorders>
            <w:shd w:val="clear" w:color="auto" w:fill="auto"/>
            <w:noWrap/>
            <w:vAlign w:val="bottom"/>
            <w:hideMark/>
          </w:tcPr>
          <w:p w14:paraId="42000741"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9.</w:t>
            </w:r>
            <w:r>
              <w:rPr>
                <w:sz w:val="20"/>
                <w:szCs w:val="20"/>
                <w:lang w:val="en-GB"/>
              </w:rPr>
              <w:t>20</w:t>
            </w:r>
            <w:r w:rsidRPr="00A1695A">
              <w:rPr>
                <w:sz w:val="20"/>
                <w:szCs w:val="20"/>
              </w:rPr>
              <w:t>%</w:t>
            </w:r>
          </w:p>
        </w:tc>
        <w:tc>
          <w:tcPr>
            <w:tcW w:w="1155" w:type="dxa"/>
            <w:tcBorders>
              <w:top w:val="nil"/>
              <w:left w:val="nil"/>
              <w:bottom w:val="single" w:sz="4" w:space="0" w:color="auto"/>
              <w:right w:val="single" w:sz="8" w:space="0" w:color="auto"/>
            </w:tcBorders>
            <w:shd w:val="clear" w:color="auto" w:fill="auto"/>
            <w:noWrap/>
            <w:vAlign w:val="bottom"/>
            <w:hideMark/>
          </w:tcPr>
          <w:p w14:paraId="1623156B"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7.</w:t>
            </w:r>
            <w:r>
              <w:rPr>
                <w:sz w:val="20"/>
                <w:szCs w:val="20"/>
                <w:lang w:val="en-GB"/>
              </w:rPr>
              <w:t>00</w:t>
            </w:r>
            <w:r w:rsidRPr="00A1695A">
              <w:rPr>
                <w:sz w:val="20"/>
                <w:szCs w:val="20"/>
              </w:rPr>
              <w:t>%</w:t>
            </w:r>
          </w:p>
        </w:tc>
      </w:tr>
      <w:tr w:rsidR="002B4CF9" w:rsidRPr="00A1695A" w14:paraId="528690AC"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2C8A44FA" w14:textId="77777777" w:rsidR="002B4CF9" w:rsidRPr="00A1695A" w:rsidRDefault="002B4CF9" w:rsidP="00711B2B">
            <w:pPr>
              <w:widowControl/>
              <w:autoSpaceDE/>
              <w:autoSpaceDN/>
              <w:adjustRightInd/>
              <w:spacing w:line="276" w:lineRule="auto"/>
              <w:rPr>
                <w:sz w:val="20"/>
                <w:szCs w:val="20"/>
              </w:rPr>
            </w:pPr>
            <w:r w:rsidRPr="00A1695A">
              <w:rPr>
                <w:sz w:val="20"/>
                <w:szCs w:val="20"/>
              </w:rPr>
              <w:t>4. Загуби на вода в л/км от вътрешната водопроводна мрежа + отклоненията</w:t>
            </w:r>
          </w:p>
        </w:tc>
        <w:tc>
          <w:tcPr>
            <w:tcW w:w="1489" w:type="dxa"/>
            <w:tcBorders>
              <w:top w:val="nil"/>
              <w:left w:val="nil"/>
              <w:bottom w:val="single" w:sz="4" w:space="0" w:color="auto"/>
              <w:right w:val="single" w:sz="4" w:space="0" w:color="auto"/>
            </w:tcBorders>
            <w:shd w:val="clear" w:color="auto" w:fill="auto"/>
            <w:noWrap/>
            <w:vAlign w:val="bottom"/>
            <w:hideMark/>
          </w:tcPr>
          <w:p w14:paraId="4F850495" w14:textId="77777777" w:rsidR="002B4CF9" w:rsidRPr="00A1695A" w:rsidRDefault="002B4CF9" w:rsidP="00711B2B">
            <w:pPr>
              <w:widowControl/>
              <w:autoSpaceDE/>
              <w:autoSpaceDN/>
              <w:adjustRightInd/>
              <w:spacing w:line="276" w:lineRule="auto"/>
              <w:jc w:val="center"/>
              <w:rPr>
                <w:sz w:val="20"/>
                <w:szCs w:val="20"/>
              </w:rPr>
            </w:pPr>
            <w:r>
              <w:rPr>
                <w:sz w:val="20"/>
                <w:szCs w:val="20"/>
                <w:lang w:val="en-GB"/>
              </w:rPr>
              <w:t>8</w:t>
            </w:r>
            <w:r w:rsidRPr="00A1695A">
              <w:rPr>
                <w:sz w:val="20"/>
                <w:szCs w:val="20"/>
              </w:rPr>
              <w:t>,</w:t>
            </w:r>
            <w:r>
              <w:rPr>
                <w:sz w:val="20"/>
                <w:szCs w:val="20"/>
                <w:lang w:val="en-GB"/>
              </w:rPr>
              <w:t>294</w:t>
            </w:r>
            <w:r w:rsidRPr="00A1695A">
              <w:rPr>
                <w:sz w:val="20"/>
                <w:szCs w:val="20"/>
              </w:rPr>
              <w:t>,</w:t>
            </w:r>
            <w:r>
              <w:rPr>
                <w:sz w:val="20"/>
                <w:szCs w:val="20"/>
                <w:lang w:val="en-GB"/>
              </w:rPr>
              <w:t>216</w:t>
            </w:r>
            <w:r w:rsidRPr="00A1695A">
              <w:rPr>
                <w:sz w:val="20"/>
                <w:szCs w:val="20"/>
              </w:rPr>
              <w:t>.0</w:t>
            </w:r>
          </w:p>
        </w:tc>
        <w:tc>
          <w:tcPr>
            <w:tcW w:w="1155" w:type="dxa"/>
            <w:tcBorders>
              <w:top w:val="nil"/>
              <w:left w:val="nil"/>
              <w:bottom w:val="single" w:sz="4" w:space="0" w:color="auto"/>
              <w:right w:val="single" w:sz="8" w:space="0" w:color="auto"/>
            </w:tcBorders>
            <w:shd w:val="clear" w:color="auto" w:fill="auto"/>
            <w:noWrap/>
            <w:vAlign w:val="bottom"/>
            <w:hideMark/>
          </w:tcPr>
          <w:p w14:paraId="3D0DB932" w14:textId="77777777" w:rsidR="002B4CF9" w:rsidRPr="00A1695A" w:rsidRDefault="002B4CF9" w:rsidP="00711B2B">
            <w:pPr>
              <w:widowControl/>
              <w:autoSpaceDE/>
              <w:autoSpaceDN/>
              <w:adjustRightInd/>
              <w:spacing w:line="276" w:lineRule="auto"/>
              <w:jc w:val="center"/>
              <w:rPr>
                <w:sz w:val="20"/>
                <w:szCs w:val="20"/>
              </w:rPr>
            </w:pPr>
            <w:r>
              <w:rPr>
                <w:sz w:val="20"/>
                <w:szCs w:val="20"/>
                <w:lang w:val="en-GB"/>
              </w:rPr>
              <w:t>8</w:t>
            </w:r>
            <w:r w:rsidRPr="00A1695A">
              <w:rPr>
                <w:sz w:val="20"/>
                <w:szCs w:val="20"/>
              </w:rPr>
              <w:t>,</w:t>
            </w:r>
            <w:r>
              <w:rPr>
                <w:sz w:val="20"/>
                <w:szCs w:val="20"/>
                <w:lang w:val="en-GB"/>
              </w:rPr>
              <w:t>859</w:t>
            </w:r>
            <w:r w:rsidRPr="00A1695A">
              <w:rPr>
                <w:sz w:val="20"/>
                <w:szCs w:val="20"/>
              </w:rPr>
              <w:t>,</w:t>
            </w:r>
            <w:r>
              <w:rPr>
                <w:sz w:val="20"/>
                <w:szCs w:val="20"/>
                <w:lang w:val="en-GB"/>
              </w:rPr>
              <w:t>915</w:t>
            </w:r>
          </w:p>
        </w:tc>
      </w:tr>
      <w:tr w:rsidR="002B4CF9" w:rsidRPr="00A1695A" w14:paraId="20520C99"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0F690AB4" w14:textId="77777777" w:rsidR="002B4CF9" w:rsidRPr="00A1695A" w:rsidRDefault="002B4CF9" w:rsidP="00711B2B">
            <w:pPr>
              <w:widowControl/>
              <w:autoSpaceDE/>
              <w:autoSpaceDN/>
              <w:adjustRightInd/>
              <w:spacing w:line="276" w:lineRule="auto"/>
              <w:rPr>
                <w:sz w:val="20"/>
                <w:szCs w:val="20"/>
              </w:rPr>
            </w:pPr>
            <w:r w:rsidRPr="00A1695A">
              <w:rPr>
                <w:sz w:val="20"/>
                <w:szCs w:val="20"/>
              </w:rPr>
              <w:t>5. Персонал на 1000 броя отклонения</w:t>
            </w:r>
          </w:p>
        </w:tc>
        <w:tc>
          <w:tcPr>
            <w:tcW w:w="1489" w:type="dxa"/>
            <w:tcBorders>
              <w:top w:val="nil"/>
              <w:left w:val="nil"/>
              <w:bottom w:val="single" w:sz="4" w:space="0" w:color="auto"/>
              <w:right w:val="single" w:sz="4" w:space="0" w:color="auto"/>
            </w:tcBorders>
            <w:shd w:val="clear" w:color="auto" w:fill="auto"/>
            <w:noWrap/>
            <w:vAlign w:val="bottom"/>
            <w:hideMark/>
          </w:tcPr>
          <w:p w14:paraId="4BCC444D"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8.5</w:t>
            </w:r>
            <w:r>
              <w:rPr>
                <w:sz w:val="20"/>
                <w:szCs w:val="20"/>
                <w:lang w:val="en-GB"/>
              </w:rPr>
              <w:t>2</w:t>
            </w:r>
          </w:p>
        </w:tc>
        <w:tc>
          <w:tcPr>
            <w:tcW w:w="1155" w:type="dxa"/>
            <w:tcBorders>
              <w:top w:val="nil"/>
              <w:left w:val="nil"/>
              <w:bottom w:val="single" w:sz="4" w:space="0" w:color="auto"/>
              <w:right w:val="single" w:sz="8" w:space="0" w:color="auto"/>
            </w:tcBorders>
            <w:shd w:val="clear" w:color="auto" w:fill="auto"/>
            <w:noWrap/>
            <w:vAlign w:val="bottom"/>
            <w:hideMark/>
          </w:tcPr>
          <w:p w14:paraId="76651E8D"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9.</w:t>
            </w:r>
            <w:r>
              <w:rPr>
                <w:sz w:val="20"/>
                <w:szCs w:val="20"/>
                <w:lang w:val="en-GB"/>
              </w:rPr>
              <w:t>10</w:t>
            </w:r>
          </w:p>
        </w:tc>
      </w:tr>
      <w:tr w:rsidR="002B4CF9" w:rsidRPr="00A1695A" w14:paraId="29C34626"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06BA095A" w14:textId="77777777" w:rsidR="002B4CF9" w:rsidRPr="00A1695A" w:rsidRDefault="002B4CF9" w:rsidP="00711B2B">
            <w:pPr>
              <w:widowControl/>
              <w:autoSpaceDE/>
              <w:autoSpaceDN/>
              <w:adjustRightInd/>
              <w:spacing w:line="276" w:lineRule="auto"/>
              <w:rPr>
                <w:sz w:val="20"/>
                <w:szCs w:val="20"/>
              </w:rPr>
            </w:pPr>
            <w:r w:rsidRPr="00A1695A">
              <w:rPr>
                <w:sz w:val="20"/>
                <w:szCs w:val="20"/>
              </w:rPr>
              <w:t>6. Персонал на дължина на водопроводната мрежа + отклоненията</w:t>
            </w:r>
          </w:p>
        </w:tc>
        <w:tc>
          <w:tcPr>
            <w:tcW w:w="1489" w:type="dxa"/>
            <w:tcBorders>
              <w:top w:val="nil"/>
              <w:left w:val="nil"/>
              <w:bottom w:val="single" w:sz="4" w:space="0" w:color="auto"/>
              <w:right w:val="single" w:sz="4" w:space="0" w:color="auto"/>
            </w:tcBorders>
            <w:shd w:val="clear" w:color="auto" w:fill="auto"/>
            <w:noWrap/>
            <w:vAlign w:val="bottom"/>
            <w:hideMark/>
          </w:tcPr>
          <w:p w14:paraId="2A0564EA"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0.23</w:t>
            </w:r>
          </w:p>
        </w:tc>
        <w:tc>
          <w:tcPr>
            <w:tcW w:w="1155" w:type="dxa"/>
            <w:tcBorders>
              <w:top w:val="nil"/>
              <w:left w:val="nil"/>
              <w:bottom w:val="single" w:sz="4" w:space="0" w:color="auto"/>
              <w:right w:val="single" w:sz="8" w:space="0" w:color="auto"/>
            </w:tcBorders>
            <w:shd w:val="clear" w:color="auto" w:fill="auto"/>
            <w:noWrap/>
            <w:vAlign w:val="bottom"/>
            <w:hideMark/>
          </w:tcPr>
          <w:p w14:paraId="2BFD26B9"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0.24</w:t>
            </w:r>
          </w:p>
        </w:tc>
      </w:tr>
      <w:tr w:rsidR="002B4CF9" w:rsidRPr="00A1695A" w14:paraId="50D45806"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4366E976" w14:textId="77777777" w:rsidR="002B4CF9" w:rsidRPr="00A1695A" w:rsidRDefault="002B4CF9" w:rsidP="00711B2B">
            <w:pPr>
              <w:widowControl/>
              <w:autoSpaceDE/>
              <w:autoSpaceDN/>
              <w:adjustRightInd/>
              <w:spacing w:line="276" w:lineRule="auto"/>
              <w:rPr>
                <w:sz w:val="20"/>
                <w:szCs w:val="20"/>
              </w:rPr>
            </w:pPr>
            <w:r w:rsidRPr="00A1695A">
              <w:rPr>
                <w:sz w:val="20"/>
                <w:szCs w:val="20"/>
              </w:rPr>
              <w:t>7. Обслужвано население / численост на персонала</w:t>
            </w:r>
          </w:p>
        </w:tc>
        <w:tc>
          <w:tcPr>
            <w:tcW w:w="1489" w:type="dxa"/>
            <w:tcBorders>
              <w:top w:val="nil"/>
              <w:left w:val="nil"/>
              <w:bottom w:val="single" w:sz="4" w:space="0" w:color="auto"/>
              <w:right w:val="single" w:sz="4" w:space="0" w:color="auto"/>
            </w:tcBorders>
            <w:shd w:val="clear" w:color="auto" w:fill="auto"/>
            <w:noWrap/>
            <w:vAlign w:val="bottom"/>
            <w:hideMark/>
          </w:tcPr>
          <w:p w14:paraId="5E171C8C" w14:textId="77777777" w:rsidR="002B4CF9" w:rsidRPr="00A1695A" w:rsidRDefault="002B4CF9" w:rsidP="00711B2B">
            <w:pPr>
              <w:widowControl/>
              <w:autoSpaceDE/>
              <w:autoSpaceDN/>
              <w:adjustRightInd/>
              <w:spacing w:line="276" w:lineRule="auto"/>
              <w:jc w:val="center"/>
              <w:rPr>
                <w:sz w:val="20"/>
                <w:szCs w:val="20"/>
              </w:rPr>
            </w:pPr>
            <w:r>
              <w:rPr>
                <w:sz w:val="20"/>
                <w:szCs w:val="20"/>
              </w:rPr>
              <w:t>341.13</w:t>
            </w:r>
          </w:p>
        </w:tc>
        <w:tc>
          <w:tcPr>
            <w:tcW w:w="1155" w:type="dxa"/>
            <w:tcBorders>
              <w:top w:val="nil"/>
              <w:left w:val="nil"/>
              <w:bottom w:val="single" w:sz="4" w:space="0" w:color="auto"/>
              <w:right w:val="single" w:sz="8" w:space="0" w:color="auto"/>
            </w:tcBorders>
            <w:shd w:val="clear" w:color="auto" w:fill="auto"/>
            <w:noWrap/>
            <w:vAlign w:val="bottom"/>
            <w:hideMark/>
          </w:tcPr>
          <w:p w14:paraId="37AF080B"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33</w:t>
            </w:r>
            <w:r>
              <w:rPr>
                <w:sz w:val="20"/>
                <w:szCs w:val="20"/>
                <w:lang w:val="en-GB"/>
              </w:rPr>
              <w:t>1</w:t>
            </w:r>
            <w:r w:rsidRPr="00A1695A">
              <w:rPr>
                <w:sz w:val="20"/>
                <w:szCs w:val="20"/>
              </w:rPr>
              <w:t>.</w:t>
            </w:r>
            <w:r>
              <w:rPr>
                <w:sz w:val="20"/>
                <w:szCs w:val="20"/>
                <w:lang w:val="en-GB"/>
              </w:rPr>
              <w:t>34</w:t>
            </w:r>
          </w:p>
        </w:tc>
      </w:tr>
      <w:tr w:rsidR="002B4CF9" w:rsidRPr="00A1695A" w14:paraId="12B86B4C" w14:textId="77777777" w:rsidTr="002B4CF9">
        <w:trPr>
          <w:trHeight w:val="245"/>
        </w:trPr>
        <w:tc>
          <w:tcPr>
            <w:tcW w:w="6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C9B3" w14:textId="77777777" w:rsidR="002B4CF9" w:rsidRPr="00A1695A" w:rsidRDefault="002B4CF9" w:rsidP="00711B2B">
            <w:pPr>
              <w:widowControl/>
              <w:autoSpaceDE/>
              <w:autoSpaceDN/>
              <w:adjustRightInd/>
              <w:spacing w:line="276" w:lineRule="auto"/>
              <w:rPr>
                <w:sz w:val="20"/>
                <w:szCs w:val="20"/>
              </w:rPr>
            </w:pPr>
            <w:r w:rsidRPr="00A1695A">
              <w:rPr>
                <w:sz w:val="20"/>
                <w:szCs w:val="20"/>
              </w:rPr>
              <w:lastRenderedPageBreak/>
              <w:t>8. Разходи за персонала / общо експлоатационни разходи</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5FE3CAF7"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0.25</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40EE5825" w14:textId="77777777" w:rsidR="002B4CF9" w:rsidRPr="00A1695A" w:rsidRDefault="002B4CF9" w:rsidP="00711B2B">
            <w:pPr>
              <w:widowControl/>
              <w:autoSpaceDE/>
              <w:autoSpaceDN/>
              <w:adjustRightInd/>
              <w:spacing w:line="276" w:lineRule="auto"/>
              <w:jc w:val="center"/>
              <w:rPr>
                <w:sz w:val="20"/>
                <w:szCs w:val="20"/>
              </w:rPr>
            </w:pPr>
            <w:r>
              <w:rPr>
                <w:sz w:val="20"/>
                <w:szCs w:val="20"/>
              </w:rPr>
              <w:t>0.30</w:t>
            </w:r>
          </w:p>
        </w:tc>
      </w:tr>
      <w:tr w:rsidR="002B4CF9" w:rsidRPr="00A1695A" w14:paraId="7ADDC07A"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47F8ECA5" w14:textId="77777777" w:rsidR="002B4CF9" w:rsidRPr="00A1695A" w:rsidRDefault="002B4CF9" w:rsidP="00711B2B">
            <w:pPr>
              <w:widowControl/>
              <w:autoSpaceDE/>
              <w:autoSpaceDN/>
              <w:adjustRightInd/>
              <w:spacing w:line="276" w:lineRule="auto"/>
              <w:rPr>
                <w:sz w:val="20"/>
                <w:szCs w:val="20"/>
              </w:rPr>
            </w:pPr>
            <w:r w:rsidRPr="00A1695A">
              <w:rPr>
                <w:sz w:val="20"/>
                <w:szCs w:val="20"/>
              </w:rPr>
              <w:t>9. Приходи от продажби / лице от персонала</w:t>
            </w:r>
          </w:p>
        </w:tc>
        <w:tc>
          <w:tcPr>
            <w:tcW w:w="1489" w:type="dxa"/>
            <w:tcBorders>
              <w:top w:val="nil"/>
              <w:left w:val="nil"/>
              <w:bottom w:val="single" w:sz="4" w:space="0" w:color="auto"/>
              <w:right w:val="single" w:sz="4" w:space="0" w:color="auto"/>
            </w:tcBorders>
            <w:shd w:val="clear" w:color="auto" w:fill="auto"/>
            <w:noWrap/>
            <w:vAlign w:val="bottom"/>
            <w:hideMark/>
          </w:tcPr>
          <w:p w14:paraId="339B4BF6" w14:textId="77777777" w:rsidR="002B4CF9" w:rsidRPr="00A1695A" w:rsidRDefault="002B4CF9" w:rsidP="00711B2B">
            <w:pPr>
              <w:widowControl/>
              <w:autoSpaceDE/>
              <w:autoSpaceDN/>
              <w:adjustRightInd/>
              <w:spacing w:line="276" w:lineRule="auto"/>
              <w:jc w:val="center"/>
              <w:rPr>
                <w:sz w:val="20"/>
                <w:szCs w:val="20"/>
              </w:rPr>
            </w:pPr>
            <w:r>
              <w:rPr>
                <w:sz w:val="20"/>
                <w:szCs w:val="20"/>
                <w:lang w:val="en-GB"/>
              </w:rPr>
              <w:t>62</w:t>
            </w:r>
            <w:r w:rsidRPr="00A1695A">
              <w:rPr>
                <w:sz w:val="20"/>
                <w:szCs w:val="20"/>
              </w:rPr>
              <w:t>,</w:t>
            </w:r>
            <w:r>
              <w:rPr>
                <w:sz w:val="20"/>
                <w:szCs w:val="20"/>
                <w:lang w:val="en-GB"/>
              </w:rPr>
              <w:t>847</w:t>
            </w:r>
          </w:p>
        </w:tc>
        <w:tc>
          <w:tcPr>
            <w:tcW w:w="1155" w:type="dxa"/>
            <w:tcBorders>
              <w:top w:val="nil"/>
              <w:left w:val="nil"/>
              <w:bottom w:val="single" w:sz="4" w:space="0" w:color="auto"/>
              <w:right w:val="single" w:sz="8" w:space="0" w:color="auto"/>
            </w:tcBorders>
            <w:shd w:val="clear" w:color="auto" w:fill="auto"/>
            <w:noWrap/>
            <w:vAlign w:val="bottom"/>
            <w:hideMark/>
          </w:tcPr>
          <w:p w14:paraId="67BDE3EC"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4</w:t>
            </w:r>
            <w:r>
              <w:rPr>
                <w:sz w:val="20"/>
                <w:szCs w:val="20"/>
                <w:lang w:val="en-GB"/>
              </w:rPr>
              <w:t>9</w:t>
            </w:r>
            <w:r w:rsidRPr="00A1695A">
              <w:rPr>
                <w:sz w:val="20"/>
                <w:szCs w:val="20"/>
              </w:rPr>
              <w:t>,</w:t>
            </w:r>
            <w:r>
              <w:rPr>
                <w:sz w:val="20"/>
                <w:szCs w:val="20"/>
                <w:lang w:val="en-GB"/>
              </w:rPr>
              <w:t>842</w:t>
            </w:r>
          </w:p>
        </w:tc>
      </w:tr>
      <w:tr w:rsidR="002B4CF9" w:rsidRPr="00A1695A" w14:paraId="22DC74CB"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282E102B" w14:textId="77777777" w:rsidR="002B4CF9" w:rsidRPr="00A1695A" w:rsidRDefault="002B4CF9" w:rsidP="00711B2B">
            <w:pPr>
              <w:widowControl/>
              <w:autoSpaceDE/>
              <w:autoSpaceDN/>
              <w:adjustRightInd/>
              <w:spacing w:line="276" w:lineRule="auto"/>
              <w:rPr>
                <w:sz w:val="20"/>
                <w:szCs w:val="20"/>
              </w:rPr>
            </w:pPr>
            <w:r w:rsidRPr="00A1695A">
              <w:rPr>
                <w:sz w:val="20"/>
                <w:szCs w:val="20"/>
              </w:rPr>
              <w:t>10. Брой на авариите на година</w:t>
            </w:r>
          </w:p>
        </w:tc>
        <w:tc>
          <w:tcPr>
            <w:tcW w:w="1489" w:type="dxa"/>
            <w:tcBorders>
              <w:top w:val="nil"/>
              <w:left w:val="nil"/>
              <w:bottom w:val="single" w:sz="4" w:space="0" w:color="auto"/>
              <w:right w:val="single" w:sz="4" w:space="0" w:color="auto"/>
            </w:tcBorders>
            <w:shd w:val="clear" w:color="auto" w:fill="auto"/>
            <w:noWrap/>
            <w:vAlign w:val="bottom"/>
            <w:hideMark/>
          </w:tcPr>
          <w:p w14:paraId="0A2F013D" w14:textId="77777777" w:rsidR="002B4CF9" w:rsidRPr="00A1695A" w:rsidRDefault="002B4CF9" w:rsidP="00711B2B">
            <w:pPr>
              <w:widowControl/>
              <w:autoSpaceDE/>
              <w:autoSpaceDN/>
              <w:adjustRightInd/>
              <w:spacing w:line="276" w:lineRule="auto"/>
              <w:jc w:val="center"/>
              <w:rPr>
                <w:sz w:val="20"/>
                <w:szCs w:val="20"/>
              </w:rPr>
            </w:pPr>
            <w:r>
              <w:rPr>
                <w:sz w:val="20"/>
                <w:szCs w:val="20"/>
              </w:rPr>
              <w:t>3.000</w:t>
            </w:r>
          </w:p>
        </w:tc>
        <w:tc>
          <w:tcPr>
            <w:tcW w:w="1155" w:type="dxa"/>
            <w:tcBorders>
              <w:top w:val="nil"/>
              <w:left w:val="nil"/>
              <w:bottom w:val="single" w:sz="4" w:space="0" w:color="auto"/>
              <w:right w:val="single" w:sz="8" w:space="0" w:color="auto"/>
            </w:tcBorders>
            <w:shd w:val="clear" w:color="auto" w:fill="auto"/>
            <w:noWrap/>
            <w:vAlign w:val="bottom"/>
            <w:hideMark/>
          </w:tcPr>
          <w:p w14:paraId="484F3CCE" w14:textId="77777777" w:rsidR="002B4CF9" w:rsidRPr="00A1695A" w:rsidRDefault="002B4CF9" w:rsidP="00711B2B">
            <w:pPr>
              <w:widowControl/>
              <w:autoSpaceDE/>
              <w:autoSpaceDN/>
              <w:adjustRightInd/>
              <w:spacing w:line="276" w:lineRule="auto"/>
              <w:jc w:val="center"/>
              <w:rPr>
                <w:sz w:val="20"/>
                <w:szCs w:val="20"/>
              </w:rPr>
            </w:pPr>
            <w:r>
              <w:rPr>
                <w:sz w:val="20"/>
                <w:szCs w:val="20"/>
                <w:lang w:val="en-GB"/>
              </w:rPr>
              <w:t>2.793</w:t>
            </w:r>
          </w:p>
        </w:tc>
      </w:tr>
      <w:tr w:rsidR="002B4CF9" w:rsidRPr="00A1695A" w14:paraId="76AEC094"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7E794DEF" w14:textId="77777777" w:rsidR="002B4CF9" w:rsidRPr="00A1695A" w:rsidRDefault="002B4CF9" w:rsidP="00711B2B">
            <w:pPr>
              <w:widowControl/>
              <w:autoSpaceDE/>
              <w:autoSpaceDN/>
              <w:adjustRightInd/>
              <w:spacing w:line="276" w:lineRule="auto"/>
              <w:rPr>
                <w:sz w:val="20"/>
                <w:szCs w:val="20"/>
              </w:rPr>
            </w:pPr>
            <w:r w:rsidRPr="00A1695A">
              <w:rPr>
                <w:sz w:val="20"/>
                <w:szCs w:val="20"/>
              </w:rPr>
              <w:t>11. Брой на авариите на година / дължина на водопроводната мрежа</w:t>
            </w:r>
          </w:p>
        </w:tc>
        <w:tc>
          <w:tcPr>
            <w:tcW w:w="1489" w:type="dxa"/>
            <w:tcBorders>
              <w:top w:val="nil"/>
              <w:left w:val="nil"/>
              <w:bottom w:val="single" w:sz="4" w:space="0" w:color="auto"/>
              <w:right w:val="single" w:sz="4" w:space="0" w:color="auto"/>
            </w:tcBorders>
            <w:shd w:val="clear" w:color="auto" w:fill="auto"/>
            <w:noWrap/>
            <w:vAlign w:val="bottom"/>
            <w:hideMark/>
          </w:tcPr>
          <w:p w14:paraId="0EAFC0E3" w14:textId="77777777" w:rsidR="002B4CF9" w:rsidRPr="00A1695A" w:rsidRDefault="002B4CF9" w:rsidP="00711B2B">
            <w:pPr>
              <w:widowControl/>
              <w:autoSpaceDE/>
              <w:autoSpaceDN/>
              <w:adjustRightInd/>
              <w:spacing w:line="276" w:lineRule="auto"/>
              <w:jc w:val="center"/>
              <w:rPr>
                <w:sz w:val="20"/>
                <w:szCs w:val="20"/>
              </w:rPr>
            </w:pPr>
            <w:r>
              <w:rPr>
                <w:sz w:val="20"/>
                <w:szCs w:val="20"/>
              </w:rPr>
              <w:t>0.71</w:t>
            </w:r>
          </w:p>
        </w:tc>
        <w:tc>
          <w:tcPr>
            <w:tcW w:w="1155" w:type="dxa"/>
            <w:tcBorders>
              <w:top w:val="nil"/>
              <w:left w:val="nil"/>
              <w:bottom w:val="single" w:sz="4" w:space="0" w:color="auto"/>
              <w:right w:val="single" w:sz="8" w:space="0" w:color="auto"/>
            </w:tcBorders>
            <w:shd w:val="clear" w:color="auto" w:fill="auto"/>
            <w:noWrap/>
            <w:vAlign w:val="bottom"/>
            <w:hideMark/>
          </w:tcPr>
          <w:p w14:paraId="07879012" w14:textId="77777777" w:rsidR="002B4CF9" w:rsidRPr="00A1695A" w:rsidRDefault="002B4CF9" w:rsidP="00711B2B">
            <w:pPr>
              <w:widowControl/>
              <w:autoSpaceDE/>
              <w:autoSpaceDN/>
              <w:adjustRightInd/>
              <w:spacing w:line="276" w:lineRule="auto"/>
              <w:jc w:val="center"/>
              <w:rPr>
                <w:sz w:val="20"/>
                <w:szCs w:val="20"/>
              </w:rPr>
            </w:pPr>
            <w:r>
              <w:rPr>
                <w:sz w:val="20"/>
                <w:szCs w:val="20"/>
              </w:rPr>
              <w:t>0.65</w:t>
            </w:r>
          </w:p>
        </w:tc>
      </w:tr>
      <w:tr w:rsidR="002B4CF9" w:rsidRPr="00A1695A" w14:paraId="078F8CE3"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291ED6E4" w14:textId="77777777" w:rsidR="002B4CF9" w:rsidRPr="00A1695A" w:rsidRDefault="002B4CF9" w:rsidP="00711B2B">
            <w:pPr>
              <w:widowControl/>
              <w:autoSpaceDE/>
              <w:autoSpaceDN/>
              <w:adjustRightInd/>
              <w:spacing w:line="276" w:lineRule="auto"/>
              <w:rPr>
                <w:sz w:val="20"/>
                <w:szCs w:val="20"/>
              </w:rPr>
            </w:pPr>
            <w:r w:rsidRPr="00A1695A">
              <w:rPr>
                <w:sz w:val="20"/>
                <w:szCs w:val="20"/>
              </w:rPr>
              <w:t>12. Инвестиции хил.</w:t>
            </w:r>
            <w:r>
              <w:rPr>
                <w:sz w:val="20"/>
                <w:szCs w:val="20"/>
              </w:rPr>
              <w:t xml:space="preserve"> </w:t>
            </w:r>
            <w:r w:rsidRPr="00A1695A">
              <w:rPr>
                <w:sz w:val="20"/>
                <w:szCs w:val="20"/>
              </w:rPr>
              <w:t>лв</w:t>
            </w:r>
            <w:r>
              <w:rPr>
                <w:sz w:val="20"/>
                <w:szCs w:val="20"/>
              </w:rPr>
              <w:t>.</w:t>
            </w:r>
            <w:r w:rsidRPr="00A1695A">
              <w:rPr>
                <w:sz w:val="20"/>
                <w:szCs w:val="20"/>
              </w:rPr>
              <w:t xml:space="preserve"> / км от водопроводната мрежа</w:t>
            </w:r>
          </w:p>
        </w:tc>
        <w:tc>
          <w:tcPr>
            <w:tcW w:w="1489" w:type="dxa"/>
            <w:tcBorders>
              <w:top w:val="nil"/>
              <w:left w:val="nil"/>
              <w:bottom w:val="single" w:sz="4" w:space="0" w:color="auto"/>
              <w:right w:val="single" w:sz="4" w:space="0" w:color="auto"/>
            </w:tcBorders>
            <w:shd w:val="clear" w:color="auto" w:fill="auto"/>
            <w:noWrap/>
            <w:vAlign w:val="bottom"/>
            <w:hideMark/>
          </w:tcPr>
          <w:p w14:paraId="1F26BCAD" w14:textId="77777777" w:rsidR="002B4CF9" w:rsidRPr="00A1695A" w:rsidRDefault="002B4CF9" w:rsidP="00711B2B">
            <w:pPr>
              <w:widowControl/>
              <w:autoSpaceDE/>
              <w:autoSpaceDN/>
              <w:adjustRightInd/>
              <w:spacing w:line="276" w:lineRule="auto"/>
              <w:jc w:val="center"/>
              <w:rPr>
                <w:sz w:val="20"/>
                <w:szCs w:val="20"/>
              </w:rPr>
            </w:pPr>
            <w:r>
              <w:rPr>
                <w:sz w:val="20"/>
                <w:szCs w:val="20"/>
                <w:lang w:val="en-GB"/>
              </w:rPr>
              <w:t>3</w:t>
            </w:r>
            <w:r w:rsidRPr="00A1695A">
              <w:rPr>
                <w:sz w:val="20"/>
                <w:szCs w:val="20"/>
              </w:rPr>
              <w:t>.</w:t>
            </w:r>
            <w:r>
              <w:rPr>
                <w:sz w:val="20"/>
                <w:szCs w:val="20"/>
                <w:lang w:val="en-GB"/>
              </w:rPr>
              <w:t>52</w:t>
            </w:r>
          </w:p>
        </w:tc>
        <w:tc>
          <w:tcPr>
            <w:tcW w:w="1155" w:type="dxa"/>
            <w:tcBorders>
              <w:top w:val="nil"/>
              <w:left w:val="nil"/>
              <w:bottom w:val="single" w:sz="4" w:space="0" w:color="auto"/>
              <w:right w:val="single" w:sz="8" w:space="0" w:color="auto"/>
            </w:tcBorders>
            <w:shd w:val="clear" w:color="auto" w:fill="auto"/>
            <w:noWrap/>
            <w:vAlign w:val="bottom"/>
            <w:hideMark/>
          </w:tcPr>
          <w:p w14:paraId="2C20F624"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3.</w:t>
            </w:r>
            <w:r>
              <w:rPr>
                <w:sz w:val="20"/>
                <w:szCs w:val="20"/>
                <w:lang w:val="en-GB"/>
              </w:rPr>
              <w:t>14</w:t>
            </w:r>
          </w:p>
        </w:tc>
      </w:tr>
      <w:tr w:rsidR="002B4CF9" w:rsidRPr="00A1695A" w14:paraId="2521EE97"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291C90B8" w14:textId="77777777" w:rsidR="002B4CF9" w:rsidRPr="00A1695A" w:rsidRDefault="002B4CF9" w:rsidP="00711B2B">
            <w:pPr>
              <w:widowControl/>
              <w:autoSpaceDE/>
              <w:autoSpaceDN/>
              <w:adjustRightInd/>
              <w:spacing w:line="276" w:lineRule="auto"/>
              <w:rPr>
                <w:sz w:val="20"/>
                <w:szCs w:val="20"/>
              </w:rPr>
            </w:pPr>
            <w:r w:rsidRPr="00A1695A">
              <w:rPr>
                <w:sz w:val="20"/>
                <w:szCs w:val="20"/>
              </w:rPr>
              <w:t>13. Инвестиции хил.</w:t>
            </w:r>
            <w:r>
              <w:rPr>
                <w:sz w:val="20"/>
                <w:szCs w:val="20"/>
              </w:rPr>
              <w:t xml:space="preserve"> </w:t>
            </w:r>
            <w:r w:rsidRPr="00A1695A">
              <w:rPr>
                <w:sz w:val="20"/>
                <w:szCs w:val="20"/>
              </w:rPr>
              <w:t>лв</w:t>
            </w:r>
            <w:r>
              <w:rPr>
                <w:sz w:val="20"/>
                <w:szCs w:val="20"/>
              </w:rPr>
              <w:t>.</w:t>
            </w:r>
            <w:r w:rsidRPr="00A1695A">
              <w:rPr>
                <w:sz w:val="20"/>
                <w:szCs w:val="20"/>
              </w:rPr>
              <w:t xml:space="preserve"> / произведена вода хил.</w:t>
            </w:r>
            <w:r>
              <w:rPr>
                <w:sz w:val="20"/>
                <w:szCs w:val="20"/>
              </w:rPr>
              <w:t xml:space="preserve"> </w:t>
            </w:r>
            <w:r w:rsidRPr="00A1695A">
              <w:rPr>
                <w:sz w:val="20"/>
                <w:szCs w:val="20"/>
              </w:rPr>
              <w:t>м.</w:t>
            </w:r>
            <w:r>
              <w:rPr>
                <w:sz w:val="20"/>
                <w:szCs w:val="20"/>
              </w:rPr>
              <w:t xml:space="preserve"> </w:t>
            </w:r>
            <w:r w:rsidRPr="00A1695A">
              <w:rPr>
                <w:sz w:val="20"/>
                <w:szCs w:val="20"/>
              </w:rPr>
              <w:t>куб</w:t>
            </w:r>
          </w:p>
        </w:tc>
        <w:tc>
          <w:tcPr>
            <w:tcW w:w="1489" w:type="dxa"/>
            <w:tcBorders>
              <w:top w:val="nil"/>
              <w:left w:val="nil"/>
              <w:bottom w:val="single" w:sz="4" w:space="0" w:color="auto"/>
              <w:right w:val="single" w:sz="4" w:space="0" w:color="auto"/>
            </w:tcBorders>
            <w:shd w:val="clear" w:color="auto" w:fill="auto"/>
            <w:noWrap/>
            <w:vAlign w:val="bottom"/>
            <w:hideMark/>
          </w:tcPr>
          <w:p w14:paraId="47E8BBC9" w14:textId="77777777" w:rsidR="002B4CF9" w:rsidRPr="00A1695A" w:rsidRDefault="002B4CF9" w:rsidP="00711B2B">
            <w:pPr>
              <w:widowControl/>
              <w:autoSpaceDE/>
              <w:autoSpaceDN/>
              <w:adjustRightInd/>
              <w:spacing w:line="276" w:lineRule="auto"/>
              <w:jc w:val="center"/>
              <w:rPr>
                <w:sz w:val="20"/>
                <w:szCs w:val="20"/>
              </w:rPr>
            </w:pPr>
            <w:r>
              <w:rPr>
                <w:sz w:val="20"/>
                <w:szCs w:val="20"/>
              </w:rPr>
              <w:t>0.15</w:t>
            </w:r>
          </w:p>
        </w:tc>
        <w:tc>
          <w:tcPr>
            <w:tcW w:w="1155" w:type="dxa"/>
            <w:tcBorders>
              <w:top w:val="nil"/>
              <w:left w:val="nil"/>
              <w:bottom w:val="single" w:sz="4" w:space="0" w:color="auto"/>
              <w:right w:val="single" w:sz="8" w:space="0" w:color="auto"/>
            </w:tcBorders>
            <w:shd w:val="clear" w:color="auto" w:fill="auto"/>
            <w:noWrap/>
            <w:vAlign w:val="bottom"/>
            <w:hideMark/>
          </w:tcPr>
          <w:p w14:paraId="4678D8CC" w14:textId="77777777" w:rsidR="002B4CF9" w:rsidRPr="00A1695A" w:rsidRDefault="002B4CF9" w:rsidP="00711B2B">
            <w:pPr>
              <w:widowControl/>
              <w:autoSpaceDE/>
              <w:autoSpaceDN/>
              <w:adjustRightInd/>
              <w:spacing w:line="276" w:lineRule="auto"/>
              <w:jc w:val="center"/>
              <w:rPr>
                <w:sz w:val="20"/>
                <w:szCs w:val="20"/>
              </w:rPr>
            </w:pPr>
            <w:r>
              <w:rPr>
                <w:sz w:val="20"/>
                <w:szCs w:val="20"/>
              </w:rPr>
              <w:t>0.14</w:t>
            </w:r>
          </w:p>
        </w:tc>
      </w:tr>
      <w:tr w:rsidR="002B4CF9" w:rsidRPr="00A1695A" w14:paraId="00CDA3A3"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21CAE096" w14:textId="77777777" w:rsidR="002B4CF9" w:rsidRPr="00A1695A" w:rsidRDefault="002B4CF9" w:rsidP="00711B2B">
            <w:pPr>
              <w:widowControl/>
              <w:autoSpaceDE/>
              <w:autoSpaceDN/>
              <w:adjustRightInd/>
              <w:spacing w:line="276" w:lineRule="auto"/>
              <w:rPr>
                <w:sz w:val="20"/>
                <w:szCs w:val="20"/>
              </w:rPr>
            </w:pPr>
            <w:r w:rsidRPr="00A1695A">
              <w:rPr>
                <w:sz w:val="20"/>
                <w:szCs w:val="20"/>
              </w:rPr>
              <w:t>14. Брой аварии годишно / км водопроводна мрежа с отклоненията</w:t>
            </w:r>
          </w:p>
        </w:tc>
        <w:tc>
          <w:tcPr>
            <w:tcW w:w="1489" w:type="dxa"/>
            <w:tcBorders>
              <w:top w:val="nil"/>
              <w:left w:val="nil"/>
              <w:bottom w:val="single" w:sz="4" w:space="0" w:color="auto"/>
              <w:right w:val="single" w:sz="4" w:space="0" w:color="auto"/>
            </w:tcBorders>
            <w:shd w:val="clear" w:color="auto" w:fill="auto"/>
            <w:noWrap/>
            <w:vAlign w:val="bottom"/>
            <w:hideMark/>
          </w:tcPr>
          <w:p w14:paraId="7F16AA23" w14:textId="77777777" w:rsidR="002B4CF9" w:rsidRPr="00A1695A" w:rsidRDefault="002B4CF9" w:rsidP="00711B2B">
            <w:pPr>
              <w:widowControl/>
              <w:autoSpaceDE/>
              <w:autoSpaceDN/>
              <w:adjustRightInd/>
              <w:spacing w:line="276" w:lineRule="auto"/>
              <w:jc w:val="center"/>
              <w:rPr>
                <w:sz w:val="20"/>
                <w:szCs w:val="20"/>
              </w:rPr>
            </w:pPr>
            <w:r>
              <w:rPr>
                <w:sz w:val="20"/>
                <w:szCs w:val="20"/>
              </w:rPr>
              <w:t>0.57</w:t>
            </w:r>
          </w:p>
        </w:tc>
        <w:tc>
          <w:tcPr>
            <w:tcW w:w="1155" w:type="dxa"/>
            <w:tcBorders>
              <w:top w:val="nil"/>
              <w:left w:val="nil"/>
              <w:bottom w:val="single" w:sz="4" w:space="0" w:color="auto"/>
              <w:right w:val="single" w:sz="8" w:space="0" w:color="auto"/>
            </w:tcBorders>
            <w:shd w:val="clear" w:color="auto" w:fill="auto"/>
            <w:noWrap/>
            <w:vAlign w:val="bottom"/>
            <w:hideMark/>
          </w:tcPr>
          <w:p w14:paraId="238A0424" w14:textId="77777777" w:rsidR="002B4CF9" w:rsidRPr="00A1695A" w:rsidRDefault="002B4CF9" w:rsidP="00711B2B">
            <w:pPr>
              <w:widowControl/>
              <w:autoSpaceDE/>
              <w:autoSpaceDN/>
              <w:adjustRightInd/>
              <w:spacing w:line="276" w:lineRule="auto"/>
              <w:jc w:val="center"/>
              <w:rPr>
                <w:sz w:val="20"/>
                <w:szCs w:val="20"/>
              </w:rPr>
            </w:pPr>
            <w:r>
              <w:rPr>
                <w:sz w:val="20"/>
                <w:szCs w:val="20"/>
              </w:rPr>
              <w:t>0.53</w:t>
            </w:r>
          </w:p>
        </w:tc>
      </w:tr>
      <w:tr w:rsidR="002B4CF9" w:rsidRPr="00A1695A" w14:paraId="1FB1DA3C"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6C0B4D6C" w14:textId="77777777" w:rsidR="002B4CF9" w:rsidRPr="00A1695A" w:rsidRDefault="002B4CF9" w:rsidP="00711B2B">
            <w:pPr>
              <w:widowControl/>
              <w:autoSpaceDE/>
              <w:autoSpaceDN/>
              <w:adjustRightInd/>
              <w:spacing w:line="276" w:lineRule="auto"/>
              <w:rPr>
                <w:sz w:val="20"/>
                <w:szCs w:val="20"/>
              </w:rPr>
            </w:pPr>
            <w:r w:rsidRPr="00A1695A">
              <w:rPr>
                <w:sz w:val="20"/>
                <w:szCs w:val="20"/>
              </w:rPr>
              <w:t>15. Разходи за ел.</w:t>
            </w:r>
            <w:r>
              <w:rPr>
                <w:sz w:val="20"/>
                <w:szCs w:val="20"/>
              </w:rPr>
              <w:t xml:space="preserve"> </w:t>
            </w:r>
            <w:r w:rsidRPr="00A1695A">
              <w:rPr>
                <w:sz w:val="20"/>
                <w:szCs w:val="20"/>
              </w:rPr>
              <w:t>енергия kwh</w:t>
            </w:r>
            <w:r>
              <w:rPr>
                <w:sz w:val="20"/>
                <w:szCs w:val="20"/>
              </w:rPr>
              <w:t>.</w:t>
            </w:r>
            <w:r w:rsidRPr="00A1695A">
              <w:rPr>
                <w:sz w:val="20"/>
                <w:szCs w:val="20"/>
              </w:rPr>
              <w:t xml:space="preserve"> / м.</w:t>
            </w:r>
            <w:r>
              <w:rPr>
                <w:sz w:val="20"/>
                <w:szCs w:val="20"/>
              </w:rPr>
              <w:t xml:space="preserve"> </w:t>
            </w:r>
            <w:r w:rsidRPr="00A1695A">
              <w:rPr>
                <w:sz w:val="20"/>
                <w:szCs w:val="20"/>
              </w:rPr>
              <w:t>куб произведена вода</w:t>
            </w:r>
          </w:p>
        </w:tc>
        <w:tc>
          <w:tcPr>
            <w:tcW w:w="1489" w:type="dxa"/>
            <w:tcBorders>
              <w:top w:val="nil"/>
              <w:left w:val="nil"/>
              <w:bottom w:val="single" w:sz="4" w:space="0" w:color="auto"/>
              <w:right w:val="single" w:sz="4" w:space="0" w:color="auto"/>
            </w:tcBorders>
            <w:shd w:val="clear" w:color="auto" w:fill="auto"/>
            <w:noWrap/>
            <w:vAlign w:val="bottom"/>
            <w:hideMark/>
          </w:tcPr>
          <w:p w14:paraId="08A624B2" w14:textId="77777777" w:rsidR="002B4CF9" w:rsidRPr="00A1695A" w:rsidRDefault="002B4CF9" w:rsidP="00711B2B">
            <w:pPr>
              <w:widowControl/>
              <w:autoSpaceDE/>
              <w:autoSpaceDN/>
              <w:adjustRightInd/>
              <w:spacing w:line="276" w:lineRule="auto"/>
              <w:jc w:val="center"/>
              <w:rPr>
                <w:sz w:val="20"/>
                <w:szCs w:val="20"/>
              </w:rPr>
            </w:pPr>
            <w:r>
              <w:rPr>
                <w:sz w:val="20"/>
                <w:szCs w:val="20"/>
              </w:rPr>
              <w:t>0.21</w:t>
            </w:r>
          </w:p>
        </w:tc>
        <w:tc>
          <w:tcPr>
            <w:tcW w:w="1155" w:type="dxa"/>
            <w:tcBorders>
              <w:top w:val="nil"/>
              <w:left w:val="nil"/>
              <w:bottom w:val="single" w:sz="4" w:space="0" w:color="auto"/>
              <w:right w:val="single" w:sz="8" w:space="0" w:color="auto"/>
            </w:tcBorders>
            <w:shd w:val="clear" w:color="auto" w:fill="auto"/>
            <w:noWrap/>
            <w:vAlign w:val="bottom"/>
            <w:hideMark/>
          </w:tcPr>
          <w:p w14:paraId="68DA7470" w14:textId="77777777" w:rsidR="002B4CF9" w:rsidRPr="00A1695A" w:rsidRDefault="002B4CF9" w:rsidP="00711B2B">
            <w:pPr>
              <w:widowControl/>
              <w:autoSpaceDE/>
              <w:autoSpaceDN/>
              <w:adjustRightInd/>
              <w:spacing w:line="276" w:lineRule="auto"/>
              <w:jc w:val="center"/>
              <w:rPr>
                <w:sz w:val="20"/>
                <w:szCs w:val="20"/>
              </w:rPr>
            </w:pPr>
            <w:r>
              <w:rPr>
                <w:sz w:val="20"/>
                <w:szCs w:val="20"/>
              </w:rPr>
              <w:t>0.47</w:t>
            </w:r>
          </w:p>
        </w:tc>
      </w:tr>
      <w:tr w:rsidR="002B4CF9" w:rsidRPr="00A1695A" w14:paraId="12F4F5F6" w14:textId="77777777" w:rsidTr="002B4CF9">
        <w:trPr>
          <w:trHeight w:val="245"/>
        </w:trPr>
        <w:tc>
          <w:tcPr>
            <w:tcW w:w="6647" w:type="dxa"/>
            <w:tcBorders>
              <w:top w:val="nil"/>
              <w:left w:val="single" w:sz="8" w:space="0" w:color="auto"/>
              <w:bottom w:val="single" w:sz="4" w:space="0" w:color="auto"/>
              <w:right w:val="single" w:sz="4" w:space="0" w:color="auto"/>
            </w:tcBorders>
            <w:shd w:val="clear" w:color="auto" w:fill="auto"/>
            <w:noWrap/>
            <w:vAlign w:val="bottom"/>
            <w:hideMark/>
          </w:tcPr>
          <w:p w14:paraId="050DF8B5" w14:textId="77777777" w:rsidR="002B4CF9" w:rsidRPr="00A1695A" w:rsidRDefault="002B4CF9" w:rsidP="00711B2B">
            <w:pPr>
              <w:widowControl/>
              <w:autoSpaceDE/>
              <w:autoSpaceDN/>
              <w:adjustRightInd/>
              <w:spacing w:line="276" w:lineRule="auto"/>
              <w:rPr>
                <w:sz w:val="20"/>
                <w:szCs w:val="20"/>
              </w:rPr>
            </w:pPr>
            <w:r w:rsidRPr="00A1695A">
              <w:rPr>
                <w:sz w:val="20"/>
                <w:szCs w:val="20"/>
              </w:rPr>
              <w:t>16. Непрекъснатост на водоподаването</w:t>
            </w:r>
          </w:p>
        </w:tc>
        <w:tc>
          <w:tcPr>
            <w:tcW w:w="1489" w:type="dxa"/>
            <w:tcBorders>
              <w:top w:val="nil"/>
              <w:left w:val="nil"/>
              <w:bottom w:val="single" w:sz="4" w:space="0" w:color="auto"/>
              <w:right w:val="single" w:sz="4" w:space="0" w:color="auto"/>
            </w:tcBorders>
            <w:shd w:val="clear" w:color="auto" w:fill="auto"/>
            <w:noWrap/>
            <w:vAlign w:val="bottom"/>
            <w:hideMark/>
          </w:tcPr>
          <w:p w14:paraId="040AE11E" w14:textId="77777777" w:rsidR="002B4CF9" w:rsidRPr="003B6ADD" w:rsidRDefault="002B4CF9" w:rsidP="00711B2B">
            <w:pPr>
              <w:widowControl/>
              <w:autoSpaceDE/>
              <w:autoSpaceDN/>
              <w:adjustRightInd/>
              <w:spacing w:line="276" w:lineRule="auto"/>
              <w:jc w:val="center"/>
              <w:rPr>
                <w:sz w:val="20"/>
                <w:szCs w:val="20"/>
                <w:lang w:val="en-GB"/>
              </w:rPr>
            </w:pPr>
            <w:r w:rsidRPr="00A1695A">
              <w:rPr>
                <w:sz w:val="20"/>
                <w:szCs w:val="20"/>
              </w:rPr>
              <w:t> </w:t>
            </w:r>
            <w:r>
              <w:rPr>
                <w:sz w:val="20"/>
                <w:szCs w:val="20"/>
                <w:lang w:val="en-GB"/>
              </w:rPr>
              <w:t>99.9</w:t>
            </w:r>
          </w:p>
        </w:tc>
        <w:tc>
          <w:tcPr>
            <w:tcW w:w="1155" w:type="dxa"/>
            <w:tcBorders>
              <w:top w:val="nil"/>
              <w:left w:val="nil"/>
              <w:bottom w:val="single" w:sz="4" w:space="0" w:color="auto"/>
              <w:right w:val="single" w:sz="8" w:space="0" w:color="auto"/>
            </w:tcBorders>
            <w:shd w:val="clear" w:color="auto" w:fill="auto"/>
            <w:noWrap/>
            <w:vAlign w:val="bottom"/>
            <w:hideMark/>
          </w:tcPr>
          <w:p w14:paraId="306AF991"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99.8</w:t>
            </w:r>
          </w:p>
        </w:tc>
      </w:tr>
      <w:tr w:rsidR="002B4CF9" w:rsidRPr="00A1695A" w14:paraId="41B99C28" w14:textId="77777777" w:rsidTr="002B4CF9">
        <w:trPr>
          <w:trHeight w:val="260"/>
        </w:trPr>
        <w:tc>
          <w:tcPr>
            <w:tcW w:w="6647" w:type="dxa"/>
            <w:tcBorders>
              <w:top w:val="nil"/>
              <w:left w:val="single" w:sz="8" w:space="0" w:color="auto"/>
              <w:bottom w:val="single" w:sz="8" w:space="0" w:color="auto"/>
              <w:right w:val="single" w:sz="4" w:space="0" w:color="auto"/>
            </w:tcBorders>
            <w:shd w:val="clear" w:color="auto" w:fill="auto"/>
            <w:noWrap/>
            <w:vAlign w:val="bottom"/>
            <w:hideMark/>
          </w:tcPr>
          <w:p w14:paraId="5A8CA061" w14:textId="77777777" w:rsidR="002B4CF9" w:rsidRPr="00A1695A" w:rsidRDefault="002B4CF9" w:rsidP="00711B2B">
            <w:pPr>
              <w:widowControl/>
              <w:autoSpaceDE/>
              <w:autoSpaceDN/>
              <w:adjustRightInd/>
              <w:spacing w:line="276" w:lineRule="auto"/>
              <w:rPr>
                <w:sz w:val="20"/>
                <w:szCs w:val="20"/>
              </w:rPr>
            </w:pPr>
            <w:r w:rsidRPr="00A1695A">
              <w:rPr>
                <w:sz w:val="20"/>
                <w:szCs w:val="20"/>
              </w:rPr>
              <w:t>1</w:t>
            </w:r>
            <w:r>
              <w:rPr>
                <w:sz w:val="20"/>
                <w:szCs w:val="20"/>
                <w:lang w:val="en-GB"/>
              </w:rPr>
              <w:t>7</w:t>
            </w:r>
            <w:r w:rsidRPr="00A1695A">
              <w:rPr>
                <w:sz w:val="20"/>
                <w:szCs w:val="20"/>
              </w:rPr>
              <w:t>. Потребление на вода - литри на глава от населението на денонощие</w:t>
            </w:r>
          </w:p>
        </w:tc>
        <w:tc>
          <w:tcPr>
            <w:tcW w:w="1489" w:type="dxa"/>
            <w:tcBorders>
              <w:top w:val="nil"/>
              <w:left w:val="nil"/>
              <w:bottom w:val="single" w:sz="8" w:space="0" w:color="auto"/>
              <w:right w:val="single" w:sz="4" w:space="0" w:color="auto"/>
            </w:tcBorders>
            <w:shd w:val="clear" w:color="auto" w:fill="auto"/>
            <w:noWrap/>
            <w:vAlign w:val="bottom"/>
            <w:hideMark/>
          </w:tcPr>
          <w:p w14:paraId="5FF1840D" w14:textId="77777777" w:rsidR="002B4CF9" w:rsidRPr="003B6ADD" w:rsidRDefault="002B4CF9" w:rsidP="00711B2B">
            <w:pPr>
              <w:widowControl/>
              <w:autoSpaceDE/>
              <w:autoSpaceDN/>
              <w:adjustRightInd/>
              <w:spacing w:line="276" w:lineRule="auto"/>
              <w:jc w:val="center"/>
              <w:rPr>
                <w:sz w:val="20"/>
                <w:szCs w:val="20"/>
                <w:lang w:val="en-GB"/>
              </w:rPr>
            </w:pPr>
            <w:r w:rsidRPr="00A1695A">
              <w:rPr>
                <w:sz w:val="20"/>
                <w:szCs w:val="20"/>
              </w:rPr>
              <w:t>187</w:t>
            </w:r>
            <w:r>
              <w:rPr>
                <w:sz w:val="20"/>
                <w:szCs w:val="20"/>
                <w:lang w:val="en-GB"/>
              </w:rPr>
              <w:t>.7</w:t>
            </w:r>
          </w:p>
        </w:tc>
        <w:tc>
          <w:tcPr>
            <w:tcW w:w="1155" w:type="dxa"/>
            <w:tcBorders>
              <w:top w:val="nil"/>
              <w:left w:val="nil"/>
              <w:bottom w:val="single" w:sz="8" w:space="0" w:color="auto"/>
              <w:right w:val="single" w:sz="8" w:space="0" w:color="auto"/>
            </w:tcBorders>
            <w:shd w:val="clear" w:color="auto" w:fill="auto"/>
            <w:noWrap/>
            <w:vAlign w:val="bottom"/>
            <w:hideMark/>
          </w:tcPr>
          <w:p w14:paraId="4F63C641" w14:textId="77777777" w:rsidR="002B4CF9" w:rsidRPr="00A1695A" w:rsidRDefault="002B4CF9" w:rsidP="00711B2B">
            <w:pPr>
              <w:widowControl/>
              <w:autoSpaceDE/>
              <w:autoSpaceDN/>
              <w:adjustRightInd/>
              <w:spacing w:line="276" w:lineRule="auto"/>
              <w:jc w:val="center"/>
              <w:rPr>
                <w:sz w:val="20"/>
                <w:szCs w:val="20"/>
              </w:rPr>
            </w:pPr>
            <w:r w:rsidRPr="00A1695A">
              <w:rPr>
                <w:sz w:val="20"/>
                <w:szCs w:val="20"/>
              </w:rPr>
              <w:t>186</w:t>
            </w:r>
          </w:p>
        </w:tc>
      </w:tr>
    </w:tbl>
    <w:p w14:paraId="08A87DA1" w14:textId="77777777" w:rsidR="00891C26" w:rsidRPr="00891C26" w:rsidRDefault="00891C26" w:rsidP="00891C26">
      <w:pPr>
        <w:widowControl/>
        <w:tabs>
          <w:tab w:val="left" w:pos="1134"/>
        </w:tabs>
        <w:autoSpaceDE/>
        <w:autoSpaceDN/>
        <w:adjustRightInd/>
        <w:spacing w:before="240" w:line="276" w:lineRule="auto"/>
        <w:jc w:val="both"/>
        <w:rPr>
          <w:b/>
          <w:bCs/>
          <w:lang w:val="en-US"/>
        </w:rPr>
      </w:pPr>
    </w:p>
    <w:p w14:paraId="42E84DD3" w14:textId="77777777" w:rsidR="009F4EFF" w:rsidRPr="00C67CA3" w:rsidRDefault="000F77FA" w:rsidP="00891C26">
      <w:pPr>
        <w:pStyle w:val="ListParagraph"/>
        <w:widowControl/>
        <w:numPr>
          <w:ilvl w:val="1"/>
          <w:numId w:val="30"/>
        </w:numPr>
        <w:tabs>
          <w:tab w:val="left" w:pos="1134"/>
        </w:tabs>
        <w:autoSpaceDE/>
        <w:autoSpaceDN/>
        <w:adjustRightInd/>
        <w:spacing w:before="240" w:line="276" w:lineRule="auto"/>
        <w:ind w:left="1134" w:hanging="283"/>
        <w:jc w:val="both"/>
        <w:rPr>
          <w:b/>
          <w:bCs/>
        </w:rPr>
      </w:pPr>
      <w:r w:rsidRPr="00C67CA3">
        <w:rPr>
          <w:b/>
          <w:bCs/>
        </w:rPr>
        <w:t>Финансови показатели</w:t>
      </w:r>
    </w:p>
    <w:p w14:paraId="64FE644D" w14:textId="77777777" w:rsidR="00F77E30" w:rsidRDefault="000F77FA" w:rsidP="00891C26">
      <w:pPr>
        <w:pStyle w:val="BodyText"/>
        <w:spacing w:line="276" w:lineRule="auto"/>
        <w:ind w:firstLine="851"/>
        <w:jc w:val="both"/>
        <w:rPr>
          <w:b/>
          <w:color w:val="000000"/>
        </w:rPr>
      </w:pPr>
      <w:r w:rsidRPr="00C67CA3">
        <w:t xml:space="preserve">Финансовото и имуществено състояние на </w:t>
      </w:r>
      <w:r w:rsidR="00AE2C0E" w:rsidRPr="00C67CA3">
        <w:t>„</w:t>
      </w:r>
      <w:r w:rsidRPr="00C67CA3">
        <w:t xml:space="preserve">Водоснабдяване и канализация” ЕАД, гр. Бургас са </w:t>
      </w:r>
      <w:r w:rsidRPr="00C67CA3">
        <w:rPr>
          <w:bCs/>
        </w:rPr>
        <w:t>представени</w:t>
      </w:r>
      <w:r w:rsidRPr="00C67CA3">
        <w:t xml:space="preserve"> в следващия анализ, данните за който за от финансовия отчет на дружеството за пе</w:t>
      </w:r>
      <w:r w:rsidRPr="00C67CA3">
        <w:softHyphen/>
        <w:t>риода, приключващ към 31.12.201</w:t>
      </w:r>
      <w:r w:rsidR="003B6ADD">
        <w:rPr>
          <w:lang w:val="en-GB"/>
        </w:rPr>
        <w:t>9</w:t>
      </w:r>
      <w:r w:rsidRPr="00C67CA3">
        <w:t xml:space="preserve"> г. Анализът обхваща посочените по-долу абсолютни и относителни финансови показатели.</w:t>
      </w:r>
    </w:p>
    <w:p w14:paraId="0E5AD736" w14:textId="77777777" w:rsidR="00F77E30" w:rsidRPr="00F77E30" w:rsidRDefault="00F77E30" w:rsidP="00891C26">
      <w:pPr>
        <w:spacing w:line="276" w:lineRule="auto"/>
      </w:pPr>
    </w:p>
    <w:p w14:paraId="4DFEE20C" w14:textId="77777777" w:rsidR="00980FEE" w:rsidRPr="00C67CA3" w:rsidRDefault="000F77FA" w:rsidP="00D91112">
      <w:pPr>
        <w:pStyle w:val="BodyText"/>
        <w:spacing w:line="276" w:lineRule="auto"/>
        <w:jc w:val="center"/>
        <w:rPr>
          <w:b/>
          <w:color w:val="000000"/>
        </w:rPr>
      </w:pPr>
      <w:r w:rsidRPr="00C67CA3">
        <w:rPr>
          <w:b/>
          <w:color w:val="000000"/>
        </w:rPr>
        <w:t>ИНФОРМАЦИЯ ЗА ФИНАНСОВИТЕ КОЕФИЦИЕНТИ</w:t>
      </w:r>
    </w:p>
    <w:p w14:paraId="4632BF60" w14:textId="77777777" w:rsidR="00980FEE" w:rsidRPr="00C67CA3" w:rsidRDefault="000F77FA" w:rsidP="00891C26">
      <w:pPr>
        <w:shd w:val="clear" w:color="auto" w:fill="FFFFFF"/>
        <w:spacing w:line="276" w:lineRule="auto"/>
        <w:ind w:right="14"/>
        <w:jc w:val="center"/>
        <w:rPr>
          <w:b/>
          <w:color w:val="000000"/>
        </w:rPr>
      </w:pPr>
      <w:r w:rsidRPr="00C67CA3">
        <w:rPr>
          <w:b/>
          <w:color w:val="000000"/>
        </w:rPr>
        <w:t>ЗА 201</w:t>
      </w:r>
      <w:r w:rsidR="003B6ADD">
        <w:rPr>
          <w:b/>
          <w:color w:val="000000"/>
          <w:lang w:val="en-GB"/>
        </w:rPr>
        <w:t>9</w:t>
      </w:r>
      <w:r w:rsidRPr="00C67CA3">
        <w:rPr>
          <w:b/>
          <w:color w:val="000000"/>
        </w:rPr>
        <w:t xml:space="preserve"> г.</w:t>
      </w:r>
    </w:p>
    <w:p w14:paraId="23E497A0" w14:textId="77777777" w:rsidR="00980FEE" w:rsidRPr="00C67CA3" w:rsidRDefault="00980FEE" w:rsidP="00891C26">
      <w:pPr>
        <w:shd w:val="clear" w:color="auto" w:fill="FFFFFF"/>
        <w:spacing w:line="276" w:lineRule="auto"/>
        <w:ind w:right="14"/>
        <w:jc w:val="center"/>
        <w:rPr>
          <w:b/>
        </w:rPr>
      </w:pPr>
    </w:p>
    <w:tbl>
      <w:tblPr>
        <w:tblW w:w="9158" w:type="dxa"/>
        <w:tblInd w:w="55" w:type="dxa"/>
        <w:tblCellMar>
          <w:left w:w="70" w:type="dxa"/>
          <w:right w:w="70" w:type="dxa"/>
        </w:tblCellMar>
        <w:tblLook w:val="0000" w:firstRow="0" w:lastRow="0" w:firstColumn="0" w:lastColumn="0" w:noHBand="0" w:noVBand="0"/>
      </w:tblPr>
      <w:tblGrid>
        <w:gridCol w:w="9158"/>
      </w:tblGrid>
      <w:tr w:rsidR="009F4EFF" w:rsidRPr="00AD0A95" w14:paraId="24DA7A54" w14:textId="77777777" w:rsidTr="00980FEE">
        <w:trPr>
          <w:trHeight w:val="345"/>
        </w:trPr>
        <w:tc>
          <w:tcPr>
            <w:tcW w:w="9158" w:type="dxa"/>
            <w:tcBorders>
              <w:top w:val="nil"/>
              <w:left w:val="nil"/>
              <w:bottom w:val="nil"/>
              <w:right w:val="nil"/>
            </w:tcBorders>
            <w:noWrap/>
            <w:vAlign w:val="bottom"/>
          </w:tcPr>
          <w:tbl>
            <w:tblPr>
              <w:tblW w:w="9008" w:type="dxa"/>
              <w:tblCellMar>
                <w:left w:w="70" w:type="dxa"/>
                <w:right w:w="70" w:type="dxa"/>
              </w:tblCellMar>
              <w:tblLook w:val="04A0" w:firstRow="1" w:lastRow="0" w:firstColumn="1" w:lastColumn="0" w:noHBand="0" w:noVBand="1"/>
            </w:tblPr>
            <w:tblGrid>
              <w:gridCol w:w="5752"/>
              <w:gridCol w:w="1698"/>
              <w:gridCol w:w="1558"/>
            </w:tblGrid>
            <w:tr w:rsidR="00980FEE" w:rsidRPr="00AD0A95" w14:paraId="778BFB99" w14:textId="77777777" w:rsidTr="008F4B20">
              <w:trPr>
                <w:trHeight w:val="945"/>
                <w:tblHeader/>
              </w:trPr>
              <w:tc>
                <w:tcPr>
                  <w:tcW w:w="5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98F1F" w14:textId="77777777" w:rsidR="00980FEE" w:rsidRPr="00054661" w:rsidRDefault="000F77FA" w:rsidP="00891C26">
                  <w:pPr>
                    <w:widowControl/>
                    <w:autoSpaceDE/>
                    <w:autoSpaceDN/>
                    <w:adjustRightInd/>
                    <w:spacing w:line="276" w:lineRule="auto"/>
                    <w:jc w:val="center"/>
                    <w:rPr>
                      <w:b/>
                      <w:bCs/>
                    </w:rPr>
                  </w:pPr>
                  <w:r w:rsidRPr="00054661">
                    <w:rPr>
                      <w:b/>
                      <w:bCs/>
                    </w:rPr>
                    <w:t>Финансови коефициенти</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514625F" w14:textId="77777777" w:rsidR="00980FEE" w:rsidRPr="00054661" w:rsidRDefault="000F77FA" w:rsidP="00891C26">
                  <w:pPr>
                    <w:widowControl/>
                    <w:autoSpaceDE/>
                    <w:autoSpaceDN/>
                    <w:adjustRightInd/>
                    <w:spacing w:line="276" w:lineRule="auto"/>
                    <w:jc w:val="center"/>
                    <w:rPr>
                      <w:b/>
                      <w:bCs/>
                    </w:rPr>
                  </w:pPr>
                  <w:r w:rsidRPr="00054661">
                    <w:rPr>
                      <w:b/>
                      <w:bCs/>
                    </w:rPr>
                    <w:t>По бизнес-план</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7A0E7C46" w14:textId="77777777" w:rsidR="00980FEE" w:rsidRPr="00054661" w:rsidRDefault="000F77FA" w:rsidP="00891C26">
                  <w:pPr>
                    <w:widowControl/>
                    <w:autoSpaceDE/>
                    <w:autoSpaceDN/>
                    <w:adjustRightInd/>
                    <w:spacing w:line="276" w:lineRule="auto"/>
                    <w:jc w:val="center"/>
                    <w:rPr>
                      <w:b/>
                      <w:bCs/>
                    </w:rPr>
                  </w:pPr>
                  <w:r w:rsidRPr="00054661">
                    <w:rPr>
                      <w:b/>
                      <w:bCs/>
                    </w:rPr>
                    <w:t>За</w:t>
                  </w:r>
                </w:p>
                <w:p w14:paraId="18C27840" w14:textId="77777777" w:rsidR="00980FEE" w:rsidRPr="00054661" w:rsidRDefault="000F77FA" w:rsidP="00891C26">
                  <w:pPr>
                    <w:widowControl/>
                    <w:autoSpaceDE/>
                    <w:autoSpaceDN/>
                    <w:adjustRightInd/>
                    <w:spacing w:line="276" w:lineRule="auto"/>
                    <w:jc w:val="center"/>
                    <w:rPr>
                      <w:b/>
                      <w:bCs/>
                    </w:rPr>
                  </w:pPr>
                  <w:r w:rsidRPr="00054661">
                    <w:rPr>
                      <w:b/>
                      <w:bCs/>
                    </w:rPr>
                    <w:t>отчетния период</w:t>
                  </w:r>
                </w:p>
              </w:tc>
            </w:tr>
            <w:tr w:rsidR="006B780E" w:rsidRPr="00AD0A95" w14:paraId="472436C3" w14:textId="77777777" w:rsidTr="00980FEE">
              <w:trPr>
                <w:trHeight w:val="315"/>
              </w:trPr>
              <w:tc>
                <w:tcPr>
                  <w:tcW w:w="90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40204E" w14:textId="77777777" w:rsidR="006B780E" w:rsidRPr="00054661" w:rsidRDefault="000F77FA" w:rsidP="00891C26">
                  <w:pPr>
                    <w:widowControl/>
                    <w:autoSpaceDE/>
                    <w:autoSpaceDN/>
                    <w:adjustRightInd/>
                    <w:spacing w:line="276" w:lineRule="auto"/>
                    <w:rPr>
                      <w:b/>
                      <w:bCs/>
                      <w:i/>
                      <w:iCs/>
                    </w:rPr>
                  </w:pPr>
                  <w:r w:rsidRPr="00054661">
                    <w:rPr>
                      <w:b/>
                      <w:bCs/>
                      <w:i/>
                      <w:iCs/>
                    </w:rPr>
                    <w:t>I. За измерване на ефективност</w:t>
                  </w:r>
                </w:p>
              </w:tc>
            </w:tr>
            <w:tr w:rsidR="00C27A90" w:rsidRPr="00AD0A95" w14:paraId="2F802E6E" w14:textId="77777777" w:rsidTr="00246467">
              <w:trPr>
                <w:trHeight w:val="315"/>
              </w:trPr>
              <w:tc>
                <w:tcPr>
                  <w:tcW w:w="5752" w:type="dxa"/>
                  <w:tcBorders>
                    <w:top w:val="nil"/>
                    <w:left w:val="single" w:sz="4" w:space="0" w:color="auto"/>
                    <w:bottom w:val="nil"/>
                    <w:right w:val="single" w:sz="4" w:space="0" w:color="auto"/>
                  </w:tcBorders>
                  <w:shd w:val="clear" w:color="auto" w:fill="auto"/>
                  <w:noWrap/>
                  <w:vAlign w:val="bottom"/>
                  <w:hideMark/>
                </w:tcPr>
                <w:p w14:paraId="5355BC4B" w14:textId="77777777" w:rsidR="00C27A90" w:rsidRPr="00054661" w:rsidRDefault="00C27A90" w:rsidP="00891C26">
                  <w:pPr>
                    <w:widowControl/>
                    <w:autoSpaceDE/>
                    <w:autoSpaceDN/>
                    <w:adjustRightInd/>
                    <w:spacing w:line="276" w:lineRule="auto"/>
                    <w:jc w:val="both"/>
                  </w:pPr>
                  <w:r w:rsidRPr="00054661">
                    <w:t>1. Работен коефициент</w:t>
                  </w:r>
                </w:p>
              </w:tc>
              <w:tc>
                <w:tcPr>
                  <w:tcW w:w="1698" w:type="dxa"/>
                  <w:tcBorders>
                    <w:top w:val="nil"/>
                    <w:left w:val="nil"/>
                    <w:bottom w:val="nil"/>
                    <w:right w:val="single" w:sz="4" w:space="0" w:color="auto"/>
                  </w:tcBorders>
                  <w:shd w:val="clear" w:color="auto" w:fill="auto"/>
                  <w:noWrap/>
                  <w:vAlign w:val="bottom"/>
                  <w:hideMark/>
                </w:tcPr>
                <w:p w14:paraId="1B2560D7" w14:textId="77777777" w:rsidR="00C27A90" w:rsidRDefault="00C27A90" w:rsidP="00891C26">
                  <w:pPr>
                    <w:spacing w:line="276" w:lineRule="auto"/>
                    <w:jc w:val="center"/>
                  </w:pPr>
                  <w:r>
                    <w:t>0.</w:t>
                  </w:r>
                  <w:r w:rsidR="003B6ADD">
                    <w:t>68</w:t>
                  </w:r>
                </w:p>
              </w:tc>
              <w:tc>
                <w:tcPr>
                  <w:tcW w:w="1558" w:type="dxa"/>
                  <w:tcBorders>
                    <w:top w:val="nil"/>
                    <w:left w:val="nil"/>
                    <w:bottom w:val="nil"/>
                    <w:right w:val="single" w:sz="4" w:space="0" w:color="auto"/>
                  </w:tcBorders>
                  <w:shd w:val="clear" w:color="auto" w:fill="auto"/>
                  <w:noWrap/>
                  <w:vAlign w:val="bottom"/>
                  <w:hideMark/>
                </w:tcPr>
                <w:p w14:paraId="0400D88C" w14:textId="77777777" w:rsidR="00C27A90" w:rsidRDefault="00C27A90" w:rsidP="00891C26">
                  <w:pPr>
                    <w:spacing w:line="276" w:lineRule="auto"/>
                    <w:jc w:val="center"/>
                  </w:pPr>
                  <w:r>
                    <w:t>0.8</w:t>
                  </w:r>
                  <w:r w:rsidR="003B6ADD">
                    <w:rPr>
                      <w:lang w:val="en-GB"/>
                    </w:rPr>
                    <w:t>51</w:t>
                  </w:r>
                </w:p>
              </w:tc>
            </w:tr>
            <w:tr w:rsidR="00C27A90" w:rsidRPr="00AD0A95" w14:paraId="48FB10C3" w14:textId="77777777" w:rsidTr="00246467">
              <w:trPr>
                <w:trHeight w:val="315"/>
              </w:trPr>
              <w:tc>
                <w:tcPr>
                  <w:tcW w:w="5752" w:type="dxa"/>
                  <w:tcBorders>
                    <w:top w:val="nil"/>
                    <w:left w:val="single" w:sz="4" w:space="0" w:color="auto"/>
                    <w:bottom w:val="nil"/>
                    <w:right w:val="single" w:sz="4" w:space="0" w:color="auto"/>
                  </w:tcBorders>
                  <w:shd w:val="clear" w:color="auto" w:fill="auto"/>
                  <w:noWrap/>
                  <w:vAlign w:val="bottom"/>
                  <w:hideMark/>
                </w:tcPr>
                <w:p w14:paraId="6381F4F2" w14:textId="77777777" w:rsidR="00C27A90" w:rsidRPr="00054661" w:rsidRDefault="00C27A90" w:rsidP="00891C26">
                  <w:pPr>
                    <w:widowControl/>
                    <w:autoSpaceDE/>
                    <w:autoSpaceDN/>
                    <w:adjustRightInd/>
                    <w:spacing w:line="276" w:lineRule="auto"/>
                    <w:jc w:val="both"/>
                  </w:pPr>
                  <w:r w:rsidRPr="00054661">
                    <w:t>2. Оперативен коефициент</w:t>
                  </w:r>
                </w:p>
              </w:tc>
              <w:tc>
                <w:tcPr>
                  <w:tcW w:w="1698" w:type="dxa"/>
                  <w:tcBorders>
                    <w:top w:val="nil"/>
                    <w:left w:val="nil"/>
                    <w:bottom w:val="nil"/>
                    <w:right w:val="single" w:sz="4" w:space="0" w:color="auto"/>
                  </w:tcBorders>
                  <w:shd w:val="clear" w:color="auto" w:fill="auto"/>
                  <w:noWrap/>
                  <w:vAlign w:val="bottom"/>
                  <w:hideMark/>
                </w:tcPr>
                <w:p w14:paraId="0B9ED098" w14:textId="77777777" w:rsidR="00C27A90" w:rsidRDefault="00F94720" w:rsidP="00891C26">
                  <w:pPr>
                    <w:spacing w:line="276" w:lineRule="auto"/>
                    <w:jc w:val="center"/>
                  </w:pPr>
                  <w:r>
                    <w:t>0.9</w:t>
                  </w:r>
                  <w:r w:rsidR="003B6ADD">
                    <w:t>2</w:t>
                  </w:r>
                </w:p>
              </w:tc>
              <w:tc>
                <w:tcPr>
                  <w:tcW w:w="1558" w:type="dxa"/>
                  <w:tcBorders>
                    <w:top w:val="nil"/>
                    <w:left w:val="nil"/>
                    <w:bottom w:val="nil"/>
                    <w:right w:val="single" w:sz="4" w:space="0" w:color="auto"/>
                  </w:tcBorders>
                  <w:shd w:val="clear" w:color="auto" w:fill="auto"/>
                  <w:noWrap/>
                  <w:vAlign w:val="bottom"/>
                  <w:hideMark/>
                </w:tcPr>
                <w:p w14:paraId="66B5012D" w14:textId="77777777" w:rsidR="00C27A90" w:rsidRDefault="00F94720" w:rsidP="00891C26">
                  <w:pPr>
                    <w:spacing w:line="276" w:lineRule="auto"/>
                    <w:jc w:val="center"/>
                  </w:pPr>
                  <w:r>
                    <w:t>0.96</w:t>
                  </w:r>
                </w:p>
              </w:tc>
            </w:tr>
            <w:tr w:rsidR="00C27A90" w:rsidRPr="00AD0A95" w14:paraId="731262AC" w14:textId="77777777" w:rsidTr="00246467">
              <w:trPr>
                <w:trHeight w:val="315"/>
              </w:trPr>
              <w:tc>
                <w:tcPr>
                  <w:tcW w:w="5752" w:type="dxa"/>
                  <w:tcBorders>
                    <w:top w:val="nil"/>
                    <w:left w:val="single" w:sz="4" w:space="0" w:color="auto"/>
                    <w:bottom w:val="nil"/>
                    <w:right w:val="single" w:sz="4" w:space="0" w:color="auto"/>
                  </w:tcBorders>
                  <w:shd w:val="clear" w:color="auto" w:fill="auto"/>
                  <w:noWrap/>
                  <w:vAlign w:val="bottom"/>
                  <w:hideMark/>
                </w:tcPr>
                <w:p w14:paraId="62BED484" w14:textId="77777777" w:rsidR="00C27A90" w:rsidRPr="00054661" w:rsidRDefault="00C27A90" w:rsidP="00891C26">
                  <w:pPr>
                    <w:widowControl/>
                    <w:autoSpaceDE/>
                    <w:autoSpaceDN/>
                    <w:adjustRightInd/>
                    <w:spacing w:line="276" w:lineRule="auto"/>
                    <w:jc w:val="both"/>
                  </w:pPr>
                  <w:r w:rsidRPr="00054661">
                    <w:t>3. Период на събираемост на вземанията</w:t>
                  </w:r>
                </w:p>
              </w:tc>
              <w:tc>
                <w:tcPr>
                  <w:tcW w:w="1698" w:type="dxa"/>
                  <w:tcBorders>
                    <w:top w:val="nil"/>
                    <w:left w:val="nil"/>
                    <w:bottom w:val="nil"/>
                    <w:right w:val="single" w:sz="4" w:space="0" w:color="auto"/>
                  </w:tcBorders>
                  <w:shd w:val="clear" w:color="auto" w:fill="auto"/>
                  <w:noWrap/>
                  <w:vAlign w:val="bottom"/>
                  <w:hideMark/>
                </w:tcPr>
                <w:p w14:paraId="4DEBB753" w14:textId="77777777" w:rsidR="00C27A90" w:rsidRDefault="00C27A90" w:rsidP="00891C26">
                  <w:pPr>
                    <w:spacing w:line="276" w:lineRule="auto"/>
                    <w:jc w:val="center"/>
                  </w:pPr>
                  <w:r>
                    <w:t> </w:t>
                  </w:r>
                </w:p>
              </w:tc>
              <w:tc>
                <w:tcPr>
                  <w:tcW w:w="1558" w:type="dxa"/>
                  <w:tcBorders>
                    <w:top w:val="nil"/>
                    <w:left w:val="nil"/>
                    <w:bottom w:val="nil"/>
                    <w:right w:val="single" w:sz="4" w:space="0" w:color="auto"/>
                  </w:tcBorders>
                  <w:shd w:val="clear" w:color="auto" w:fill="auto"/>
                  <w:noWrap/>
                  <w:vAlign w:val="bottom"/>
                  <w:hideMark/>
                </w:tcPr>
                <w:p w14:paraId="66E4D027" w14:textId="77777777" w:rsidR="00C27A90" w:rsidRDefault="003B6ADD" w:rsidP="00891C26">
                  <w:pPr>
                    <w:spacing w:line="276" w:lineRule="auto"/>
                    <w:jc w:val="center"/>
                  </w:pPr>
                  <w:r>
                    <w:rPr>
                      <w:lang w:val="en-GB"/>
                    </w:rPr>
                    <w:t>77</w:t>
                  </w:r>
                </w:p>
              </w:tc>
            </w:tr>
            <w:tr w:rsidR="00C27A90" w:rsidRPr="00AD0A95" w14:paraId="0286A100" w14:textId="77777777" w:rsidTr="00246467">
              <w:trPr>
                <w:trHeight w:val="315"/>
              </w:trPr>
              <w:tc>
                <w:tcPr>
                  <w:tcW w:w="5752" w:type="dxa"/>
                  <w:tcBorders>
                    <w:top w:val="nil"/>
                    <w:left w:val="single" w:sz="4" w:space="0" w:color="auto"/>
                    <w:bottom w:val="single" w:sz="4" w:space="0" w:color="auto"/>
                    <w:right w:val="single" w:sz="4" w:space="0" w:color="auto"/>
                  </w:tcBorders>
                  <w:shd w:val="clear" w:color="auto" w:fill="auto"/>
                  <w:noWrap/>
                  <w:vAlign w:val="bottom"/>
                  <w:hideMark/>
                </w:tcPr>
                <w:p w14:paraId="23606004" w14:textId="77777777" w:rsidR="00C27A90" w:rsidRPr="00054661" w:rsidRDefault="00C27A90" w:rsidP="00891C26">
                  <w:pPr>
                    <w:widowControl/>
                    <w:autoSpaceDE/>
                    <w:autoSpaceDN/>
                    <w:adjustRightInd/>
                    <w:spacing w:line="276" w:lineRule="auto"/>
                    <w:jc w:val="both"/>
                  </w:pPr>
                  <w:r w:rsidRPr="00054661">
                    <w:t>4. Коефициент на събираемост на вземанията</w:t>
                  </w:r>
                </w:p>
              </w:tc>
              <w:tc>
                <w:tcPr>
                  <w:tcW w:w="1698" w:type="dxa"/>
                  <w:tcBorders>
                    <w:top w:val="nil"/>
                    <w:left w:val="nil"/>
                    <w:bottom w:val="single" w:sz="4" w:space="0" w:color="auto"/>
                    <w:right w:val="single" w:sz="4" w:space="0" w:color="auto"/>
                  </w:tcBorders>
                  <w:shd w:val="clear" w:color="auto" w:fill="auto"/>
                  <w:noWrap/>
                  <w:vAlign w:val="bottom"/>
                  <w:hideMark/>
                </w:tcPr>
                <w:p w14:paraId="435032EC" w14:textId="77777777" w:rsidR="00C27A90" w:rsidRDefault="00C27A90" w:rsidP="00891C26">
                  <w:pPr>
                    <w:spacing w:line="276" w:lineRule="auto"/>
                    <w:jc w:val="center"/>
                  </w:pPr>
                  <w:r>
                    <w:t>0.</w:t>
                  </w:r>
                  <w:r w:rsidR="00F94720">
                    <w:t>9</w:t>
                  </w:r>
                </w:p>
              </w:tc>
              <w:tc>
                <w:tcPr>
                  <w:tcW w:w="1558" w:type="dxa"/>
                  <w:tcBorders>
                    <w:top w:val="nil"/>
                    <w:left w:val="nil"/>
                    <w:bottom w:val="single" w:sz="4" w:space="0" w:color="auto"/>
                    <w:right w:val="single" w:sz="4" w:space="0" w:color="auto"/>
                  </w:tcBorders>
                  <w:shd w:val="clear" w:color="auto" w:fill="auto"/>
                  <w:noWrap/>
                  <w:vAlign w:val="bottom"/>
                  <w:hideMark/>
                </w:tcPr>
                <w:p w14:paraId="76BE6DC9" w14:textId="7A4C71A7" w:rsidR="00C27A90" w:rsidRDefault="00C27A90" w:rsidP="00891C26">
                  <w:pPr>
                    <w:spacing w:line="276" w:lineRule="auto"/>
                    <w:jc w:val="center"/>
                  </w:pPr>
                  <w:r>
                    <w:t>0</w:t>
                  </w:r>
                  <w:r w:rsidR="00F94720">
                    <w:t>.8</w:t>
                  </w:r>
                  <w:r w:rsidR="00BD3C36">
                    <w:t>9</w:t>
                  </w:r>
                </w:p>
              </w:tc>
            </w:tr>
            <w:tr w:rsidR="006B780E" w:rsidRPr="00AD0A95" w14:paraId="4DE2EC65" w14:textId="77777777" w:rsidTr="00980FEE">
              <w:trPr>
                <w:trHeight w:val="315"/>
              </w:trPr>
              <w:tc>
                <w:tcPr>
                  <w:tcW w:w="9008"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01DB1C8D" w14:textId="77777777" w:rsidR="006B780E" w:rsidRPr="00054661" w:rsidRDefault="006B780E" w:rsidP="00891C26">
                  <w:pPr>
                    <w:widowControl/>
                    <w:autoSpaceDE/>
                    <w:autoSpaceDN/>
                    <w:adjustRightInd/>
                    <w:spacing w:line="276" w:lineRule="auto"/>
                    <w:rPr>
                      <w:b/>
                      <w:bCs/>
                      <w:i/>
                      <w:iCs/>
                    </w:rPr>
                  </w:pPr>
                </w:p>
              </w:tc>
            </w:tr>
            <w:tr w:rsidR="00054661" w:rsidRPr="00AD0A95" w14:paraId="372E1E38" w14:textId="77777777" w:rsidTr="00246467">
              <w:trPr>
                <w:trHeight w:val="315"/>
              </w:trPr>
              <w:tc>
                <w:tcPr>
                  <w:tcW w:w="5752" w:type="dxa"/>
                  <w:tcBorders>
                    <w:top w:val="nil"/>
                    <w:left w:val="single" w:sz="4" w:space="0" w:color="auto"/>
                    <w:bottom w:val="nil"/>
                    <w:right w:val="single" w:sz="4" w:space="0" w:color="auto"/>
                  </w:tcBorders>
                  <w:shd w:val="clear" w:color="auto" w:fill="auto"/>
                  <w:noWrap/>
                  <w:vAlign w:val="bottom"/>
                  <w:hideMark/>
                </w:tcPr>
                <w:p w14:paraId="1593BEBF" w14:textId="77777777" w:rsidR="00054661" w:rsidRPr="00054661" w:rsidRDefault="00054661" w:rsidP="00891C26">
                  <w:pPr>
                    <w:widowControl/>
                    <w:autoSpaceDE/>
                    <w:autoSpaceDN/>
                    <w:adjustRightInd/>
                    <w:spacing w:line="276" w:lineRule="auto"/>
                    <w:jc w:val="both"/>
                  </w:pPr>
                  <w:r w:rsidRPr="00054661">
                    <w:t>1. Възвръщаемост на активите</w:t>
                  </w:r>
                </w:p>
              </w:tc>
              <w:tc>
                <w:tcPr>
                  <w:tcW w:w="1698" w:type="dxa"/>
                  <w:tcBorders>
                    <w:top w:val="nil"/>
                    <w:left w:val="nil"/>
                    <w:bottom w:val="nil"/>
                    <w:right w:val="single" w:sz="4" w:space="0" w:color="auto"/>
                  </w:tcBorders>
                  <w:shd w:val="clear" w:color="auto" w:fill="auto"/>
                  <w:noWrap/>
                  <w:vAlign w:val="bottom"/>
                  <w:hideMark/>
                </w:tcPr>
                <w:p w14:paraId="60097256" w14:textId="77777777" w:rsidR="00054661" w:rsidRPr="00DA1231" w:rsidRDefault="00054661" w:rsidP="00891C26">
                  <w:pPr>
                    <w:spacing w:line="276" w:lineRule="auto"/>
                    <w:jc w:val="center"/>
                  </w:pPr>
                  <w:r>
                    <w:t> </w:t>
                  </w:r>
                </w:p>
              </w:tc>
              <w:tc>
                <w:tcPr>
                  <w:tcW w:w="1558" w:type="dxa"/>
                  <w:tcBorders>
                    <w:top w:val="nil"/>
                    <w:left w:val="nil"/>
                    <w:bottom w:val="nil"/>
                    <w:right w:val="single" w:sz="4" w:space="0" w:color="auto"/>
                  </w:tcBorders>
                  <w:shd w:val="clear" w:color="auto" w:fill="auto"/>
                  <w:noWrap/>
                  <w:vAlign w:val="bottom"/>
                  <w:hideMark/>
                </w:tcPr>
                <w:p w14:paraId="65743BFC" w14:textId="77777777" w:rsidR="00054661" w:rsidRDefault="00054661" w:rsidP="00891C26">
                  <w:pPr>
                    <w:spacing w:line="276" w:lineRule="auto"/>
                    <w:jc w:val="center"/>
                  </w:pPr>
                  <w:r>
                    <w:t>0.03</w:t>
                  </w:r>
                  <w:r w:rsidR="003B6ADD">
                    <w:t>9</w:t>
                  </w:r>
                </w:p>
              </w:tc>
            </w:tr>
            <w:tr w:rsidR="00054661" w:rsidRPr="00AD0A95" w14:paraId="63535A36" w14:textId="77777777" w:rsidTr="00246467">
              <w:trPr>
                <w:trHeight w:val="315"/>
              </w:trPr>
              <w:tc>
                <w:tcPr>
                  <w:tcW w:w="5752" w:type="dxa"/>
                  <w:tcBorders>
                    <w:top w:val="nil"/>
                    <w:left w:val="single" w:sz="4" w:space="0" w:color="auto"/>
                    <w:bottom w:val="nil"/>
                    <w:right w:val="single" w:sz="4" w:space="0" w:color="auto"/>
                  </w:tcBorders>
                  <w:shd w:val="clear" w:color="auto" w:fill="auto"/>
                  <w:noWrap/>
                  <w:vAlign w:val="bottom"/>
                  <w:hideMark/>
                </w:tcPr>
                <w:p w14:paraId="7F4A24DB" w14:textId="77777777" w:rsidR="00054661" w:rsidRPr="00054661" w:rsidRDefault="00054661" w:rsidP="00891C26">
                  <w:pPr>
                    <w:widowControl/>
                    <w:autoSpaceDE/>
                    <w:autoSpaceDN/>
                    <w:adjustRightInd/>
                    <w:spacing w:line="276" w:lineRule="auto"/>
                    <w:jc w:val="both"/>
                  </w:pPr>
                  <w:r w:rsidRPr="00054661">
                    <w:t>2. Коефициент на марж на печалбата (рентабилност)</w:t>
                  </w:r>
                </w:p>
              </w:tc>
              <w:tc>
                <w:tcPr>
                  <w:tcW w:w="1698" w:type="dxa"/>
                  <w:tcBorders>
                    <w:top w:val="nil"/>
                    <w:left w:val="nil"/>
                    <w:bottom w:val="nil"/>
                    <w:right w:val="single" w:sz="4" w:space="0" w:color="auto"/>
                  </w:tcBorders>
                  <w:shd w:val="clear" w:color="auto" w:fill="auto"/>
                  <w:noWrap/>
                  <w:vAlign w:val="bottom"/>
                  <w:hideMark/>
                </w:tcPr>
                <w:p w14:paraId="5A74CF95" w14:textId="77777777" w:rsidR="00054661" w:rsidRDefault="00F94720" w:rsidP="00891C26">
                  <w:pPr>
                    <w:spacing w:line="276" w:lineRule="auto"/>
                    <w:jc w:val="center"/>
                  </w:pPr>
                  <w:r>
                    <w:t>0.07</w:t>
                  </w:r>
                </w:p>
              </w:tc>
              <w:tc>
                <w:tcPr>
                  <w:tcW w:w="1558" w:type="dxa"/>
                  <w:tcBorders>
                    <w:top w:val="nil"/>
                    <w:left w:val="nil"/>
                    <w:bottom w:val="nil"/>
                    <w:right w:val="single" w:sz="4" w:space="0" w:color="auto"/>
                  </w:tcBorders>
                  <w:shd w:val="clear" w:color="auto" w:fill="auto"/>
                  <w:noWrap/>
                  <w:vAlign w:val="bottom"/>
                  <w:hideMark/>
                </w:tcPr>
                <w:p w14:paraId="4E4C61DE" w14:textId="77777777" w:rsidR="00054661" w:rsidRDefault="00054661" w:rsidP="00891C26">
                  <w:pPr>
                    <w:spacing w:line="276" w:lineRule="auto"/>
                    <w:jc w:val="center"/>
                  </w:pPr>
                  <w:r>
                    <w:t>0.</w:t>
                  </w:r>
                  <w:r w:rsidR="003B6ADD">
                    <w:t>04</w:t>
                  </w:r>
                </w:p>
              </w:tc>
            </w:tr>
            <w:tr w:rsidR="00054661" w:rsidRPr="00AD0A95" w14:paraId="36A2FD7A" w14:textId="77777777" w:rsidTr="00246467">
              <w:trPr>
                <w:trHeight w:val="315"/>
              </w:trPr>
              <w:tc>
                <w:tcPr>
                  <w:tcW w:w="5752" w:type="dxa"/>
                  <w:tcBorders>
                    <w:top w:val="nil"/>
                    <w:left w:val="single" w:sz="4" w:space="0" w:color="auto"/>
                    <w:bottom w:val="single" w:sz="4" w:space="0" w:color="auto"/>
                    <w:right w:val="single" w:sz="4" w:space="0" w:color="auto"/>
                  </w:tcBorders>
                  <w:shd w:val="clear" w:color="auto" w:fill="auto"/>
                  <w:noWrap/>
                  <w:vAlign w:val="bottom"/>
                  <w:hideMark/>
                </w:tcPr>
                <w:p w14:paraId="0FB8BE49" w14:textId="77777777" w:rsidR="00054661" w:rsidRPr="00054661" w:rsidRDefault="00054661" w:rsidP="00891C26">
                  <w:pPr>
                    <w:widowControl/>
                    <w:autoSpaceDE/>
                    <w:autoSpaceDN/>
                    <w:adjustRightInd/>
                    <w:spacing w:line="276" w:lineRule="auto"/>
                    <w:jc w:val="both"/>
                  </w:pPr>
                  <w:r w:rsidRPr="00054661">
                    <w:t>3. Коефициент на оборот на активите</w:t>
                  </w:r>
                </w:p>
              </w:tc>
              <w:tc>
                <w:tcPr>
                  <w:tcW w:w="1698" w:type="dxa"/>
                  <w:tcBorders>
                    <w:top w:val="nil"/>
                    <w:left w:val="nil"/>
                    <w:bottom w:val="single" w:sz="4" w:space="0" w:color="auto"/>
                    <w:right w:val="single" w:sz="4" w:space="0" w:color="auto"/>
                  </w:tcBorders>
                  <w:shd w:val="clear" w:color="auto" w:fill="auto"/>
                  <w:noWrap/>
                  <w:vAlign w:val="bottom"/>
                  <w:hideMark/>
                </w:tcPr>
                <w:p w14:paraId="3D68A2E1" w14:textId="77777777" w:rsidR="00054661" w:rsidRDefault="00054661" w:rsidP="00891C26">
                  <w:pPr>
                    <w:spacing w:line="276" w:lineRule="auto"/>
                    <w:jc w:val="center"/>
                  </w:pPr>
                  <w:r>
                    <w:t> </w:t>
                  </w:r>
                </w:p>
              </w:tc>
              <w:tc>
                <w:tcPr>
                  <w:tcW w:w="1558" w:type="dxa"/>
                  <w:tcBorders>
                    <w:top w:val="nil"/>
                    <w:left w:val="nil"/>
                    <w:bottom w:val="single" w:sz="4" w:space="0" w:color="auto"/>
                    <w:right w:val="single" w:sz="4" w:space="0" w:color="auto"/>
                  </w:tcBorders>
                  <w:shd w:val="clear" w:color="auto" w:fill="auto"/>
                  <w:noWrap/>
                  <w:vAlign w:val="bottom"/>
                  <w:hideMark/>
                </w:tcPr>
                <w:p w14:paraId="723D5997" w14:textId="46F1DBCC" w:rsidR="00054661" w:rsidRDefault="00054661" w:rsidP="00891C26">
                  <w:pPr>
                    <w:spacing w:line="276" w:lineRule="auto"/>
                    <w:jc w:val="center"/>
                  </w:pPr>
                  <w:r>
                    <w:t>0.</w:t>
                  </w:r>
                  <w:r w:rsidR="006401EF">
                    <w:t>636</w:t>
                  </w:r>
                </w:p>
              </w:tc>
            </w:tr>
            <w:tr w:rsidR="006B780E" w:rsidRPr="00AD0A95" w14:paraId="10E28492" w14:textId="77777777" w:rsidTr="00980FEE">
              <w:trPr>
                <w:trHeight w:val="315"/>
              </w:trPr>
              <w:tc>
                <w:tcPr>
                  <w:tcW w:w="9008"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25E30278" w14:textId="77777777" w:rsidR="006B780E" w:rsidRPr="00054661" w:rsidRDefault="006B780E" w:rsidP="00891C26">
                  <w:pPr>
                    <w:widowControl/>
                    <w:autoSpaceDE/>
                    <w:autoSpaceDN/>
                    <w:adjustRightInd/>
                    <w:spacing w:line="276" w:lineRule="auto"/>
                    <w:rPr>
                      <w:b/>
                      <w:bCs/>
                      <w:i/>
                      <w:iCs/>
                    </w:rPr>
                  </w:pPr>
                </w:p>
              </w:tc>
            </w:tr>
            <w:tr w:rsidR="00054661" w:rsidRPr="00AD0A95" w14:paraId="5D4714D0" w14:textId="77777777" w:rsidTr="00246467">
              <w:trPr>
                <w:trHeight w:val="315"/>
              </w:trPr>
              <w:tc>
                <w:tcPr>
                  <w:tcW w:w="5752" w:type="dxa"/>
                  <w:tcBorders>
                    <w:top w:val="nil"/>
                    <w:left w:val="single" w:sz="4" w:space="0" w:color="auto"/>
                    <w:bottom w:val="nil"/>
                    <w:right w:val="single" w:sz="4" w:space="0" w:color="auto"/>
                  </w:tcBorders>
                  <w:shd w:val="clear" w:color="auto" w:fill="auto"/>
                  <w:noWrap/>
                  <w:vAlign w:val="bottom"/>
                  <w:hideMark/>
                </w:tcPr>
                <w:p w14:paraId="5D0499BF" w14:textId="77777777" w:rsidR="00054661" w:rsidRPr="00054661" w:rsidRDefault="00054661" w:rsidP="00891C26">
                  <w:pPr>
                    <w:widowControl/>
                    <w:autoSpaceDE/>
                    <w:autoSpaceDN/>
                    <w:adjustRightInd/>
                    <w:spacing w:line="276" w:lineRule="auto"/>
                    <w:jc w:val="both"/>
                  </w:pPr>
                  <w:r w:rsidRPr="00054661">
                    <w:t>1. Коефициент на обща ликвидност</w:t>
                  </w:r>
                </w:p>
              </w:tc>
              <w:tc>
                <w:tcPr>
                  <w:tcW w:w="1698" w:type="dxa"/>
                  <w:tcBorders>
                    <w:top w:val="nil"/>
                    <w:left w:val="nil"/>
                    <w:bottom w:val="nil"/>
                    <w:right w:val="single" w:sz="4" w:space="0" w:color="auto"/>
                  </w:tcBorders>
                  <w:shd w:val="clear" w:color="auto" w:fill="auto"/>
                  <w:noWrap/>
                  <w:vAlign w:val="bottom"/>
                  <w:hideMark/>
                </w:tcPr>
                <w:p w14:paraId="148B23E2" w14:textId="77777777" w:rsidR="00054661" w:rsidRDefault="00054661" w:rsidP="00891C26">
                  <w:pPr>
                    <w:spacing w:line="276" w:lineRule="auto"/>
                    <w:jc w:val="center"/>
                  </w:pPr>
                  <w:r>
                    <w:t> </w:t>
                  </w:r>
                </w:p>
              </w:tc>
              <w:tc>
                <w:tcPr>
                  <w:tcW w:w="1558" w:type="dxa"/>
                  <w:tcBorders>
                    <w:top w:val="nil"/>
                    <w:left w:val="nil"/>
                    <w:bottom w:val="nil"/>
                    <w:right w:val="single" w:sz="4" w:space="0" w:color="auto"/>
                  </w:tcBorders>
                  <w:shd w:val="clear" w:color="auto" w:fill="auto"/>
                  <w:noWrap/>
                  <w:vAlign w:val="bottom"/>
                  <w:hideMark/>
                </w:tcPr>
                <w:p w14:paraId="38EC535E" w14:textId="4789F6E7" w:rsidR="00054661" w:rsidRPr="006401EF" w:rsidRDefault="003B6ADD" w:rsidP="00891C26">
                  <w:pPr>
                    <w:spacing w:line="276" w:lineRule="auto"/>
                    <w:jc w:val="center"/>
                  </w:pPr>
                  <w:r>
                    <w:rPr>
                      <w:lang w:val="en-US"/>
                    </w:rPr>
                    <w:t>2</w:t>
                  </w:r>
                  <w:r w:rsidR="00604DE7">
                    <w:rPr>
                      <w:lang w:val="en-US"/>
                    </w:rPr>
                    <w:t>.</w:t>
                  </w:r>
                  <w:r w:rsidR="006401EF">
                    <w:t>22</w:t>
                  </w:r>
                </w:p>
              </w:tc>
            </w:tr>
            <w:tr w:rsidR="00054661" w:rsidRPr="00AD0A95" w14:paraId="3785788C" w14:textId="77777777" w:rsidTr="00246467">
              <w:trPr>
                <w:trHeight w:val="315"/>
              </w:trPr>
              <w:tc>
                <w:tcPr>
                  <w:tcW w:w="5752" w:type="dxa"/>
                  <w:tcBorders>
                    <w:top w:val="nil"/>
                    <w:left w:val="single" w:sz="4" w:space="0" w:color="auto"/>
                    <w:bottom w:val="single" w:sz="4" w:space="0" w:color="auto"/>
                    <w:right w:val="single" w:sz="4" w:space="0" w:color="auto"/>
                  </w:tcBorders>
                  <w:shd w:val="clear" w:color="auto" w:fill="auto"/>
                  <w:noWrap/>
                  <w:vAlign w:val="bottom"/>
                  <w:hideMark/>
                </w:tcPr>
                <w:p w14:paraId="0AF65D56" w14:textId="77777777" w:rsidR="00054661" w:rsidRPr="00054661" w:rsidRDefault="00054661" w:rsidP="00891C26">
                  <w:pPr>
                    <w:widowControl/>
                    <w:autoSpaceDE/>
                    <w:autoSpaceDN/>
                    <w:adjustRightInd/>
                    <w:spacing w:line="276" w:lineRule="auto"/>
                    <w:jc w:val="both"/>
                  </w:pPr>
                  <w:r w:rsidRPr="00054661">
                    <w:t>2. Коефициент на бърза ликвидност</w:t>
                  </w:r>
                </w:p>
              </w:tc>
              <w:tc>
                <w:tcPr>
                  <w:tcW w:w="1698" w:type="dxa"/>
                  <w:tcBorders>
                    <w:top w:val="nil"/>
                    <w:left w:val="nil"/>
                    <w:bottom w:val="single" w:sz="4" w:space="0" w:color="auto"/>
                    <w:right w:val="single" w:sz="4" w:space="0" w:color="auto"/>
                  </w:tcBorders>
                  <w:shd w:val="clear" w:color="auto" w:fill="auto"/>
                  <w:noWrap/>
                  <w:vAlign w:val="bottom"/>
                  <w:hideMark/>
                </w:tcPr>
                <w:p w14:paraId="286763B1" w14:textId="77777777" w:rsidR="00054661" w:rsidRDefault="00054661" w:rsidP="00891C26">
                  <w:pPr>
                    <w:spacing w:line="276" w:lineRule="auto"/>
                    <w:jc w:val="center"/>
                  </w:pPr>
                  <w:r>
                    <w:t> </w:t>
                  </w:r>
                </w:p>
              </w:tc>
              <w:tc>
                <w:tcPr>
                  <w:tcW w:w="1558" w:type="dxa"/>
                  <w:tcBorders>
                    <w:top w:val="nil"/>
                    <w:left w:val="nil"/>
                    <w:bottom w:val="single" w:sz="4" w:space="0" w:color="auto"/>
                    <w:right w:val="single" w:sz="4" w:space="0" w:color="auto"/>
                  </w:tcBorders>
                  <w:shd w:val="clear" w:color="auto" w:fill="auto"/>
                  <w:noWrap/>
                  <w:vAlign w:val="bottom"/>
                  <w:hideMark/>
                </w:tcPr>
                <w:p w14:paraId="216840AA" w14:textId="101D0F66" w:rsidR="00054661" w:rsidRPr="006401EF" w:rsidRDefault="006401EF" w:rsidP="00891C26">
                  <w:pPr>
                    <w:spacing w:line="276" w:lineRule="auto"/>
                    <w:jc w:val="center"/>
                  </w:pPr>
                  <w:r>
                    <w:t>1.89</w:t>
                  </w:r>
                </w:p>
              </w:tc>
            </w:tr>
            <w:tr w:rsidR="006B780E" w:rsidRPr="00AD0A95" w14:paraId="2689127A" w14:textId="77777777" w:rsidTr="00980FEE">
              <w:trPr>
                <w:trHeight w:val="315"/>
              </w:trPr>
              <w:tc>
                <w:tcPr>
                  <w:tcW w:w="9008"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166E74F2" w14:textId="77777777" w:rsidR="006B780E" w:rsidRPr="00054661" w:rsidRDefault="006B780E" w:rsidP="00891C26">
                  <w:pPr>
                    <w:widowControl/>
                    <w:autoSpaceDE/>
                    <w:autoSpaceDN/>
                    <w:adjustRightInd/>
                    <w:spacing w:line="276" w:lineRule="auto"/>
                    <w:rPr>
                      <w:b/>
                      <w:bCs/>
                      <w:i/>
                      <w:iCs/>
                    </w:rPr>
                  </w:pPr>
                </w:p>
              </w:tc>
            </w:tr>
            <w:tr w:rsidR="00054661" w:rsidRPr="00AD0A95" w14:paraId="2A0A8A3F" w14:textId="77777777" w:rsidTr="00246467">
              <w:trPr>
                <w:trHeight w:val="315"/>
              </w:trPr>
              <w:tc>
                <w:tcPr>
                  <w:tcW w:w="5752" w:type="dxa"/>
                  <w:tcBorders>
                    <w:top w:val="nil"/>
                    <w:left w:val="single" w:sz="4" w:space="0" w:color="auto"/>
                    <w:bottom w:val="nil"/>
                    <w:right w:val="single" w:sz="4" w:space="0" w:color="auto"/>
                  </w:tcBorders>
                  <w:shd w:val="clear" w:color="auto" w:fill="auto"/>
                  <w:noWrap/>
                  <w:vAlign w:val="bottom"/>
                  <w:hideMark/>
                </w:tcPr>
                <w:p w14:paraId="73968C63" w14:textId="77777777" w:rsidR="00054661" w:rsidRPr="00054661" w:rsidRDefault="00054661" w:rsidP="00891C26">
                  <w:pPr>
                    <w:widowControl/>
                    <w:autoSpaceDE/>
                    <w:autoSpaceDN/>
                    <w:adjustRightInd/>
                    <w:spacing w:line="276" w:lineRule="auto"/>
                    <w:jc w:val="both"/>
                  </w:pPr>
                  <w:r w:rsidRPr="00054661">
                    <w:t>1. Коефициент на обслужване на дълга</w:t>
                  </w:r>
                </w:p>
              </w:tc>
              <w:tc>
                <w:tcPr>
                  <w:tcW w:w="1698" w:type="dxa"/>
                  <w:tcBorders>
                    <w:top w:val="nil"/>
                    <w:left w:val="nil"/>
                    <w:bottom w:val="nil"/>
                    <w:right w:val="nil"/>
                  </w:tcBorders>
                  <w:shd w:val="clear" w:color="auto" w:fill="auto"/>
                  <w:noWrap/>
                  <w:vAlign w:val="bottom"/>
                  <w:hideMark/>
                </w:tcPr>
                <w:p w14:paraId="7194A966" w14:textId="77777777" w:rsidR="00054661" w:rsidRDefault="00054661" w:rsidP="00891C26">
                  <w:pPr>
                    <w:spacing w:line="276" w:lineRule="auto"/>
                    <w:jc w:val="center"/>
                  </w:pPr>
                  <w:r>
                    <w:t> </w:t>
                  </w:r>
                </w:p>
              </w:tc>
              <w:tc>
                <w:tcPr>
                  <w:tcW w:w="1558" w:type="dxa"/>
                  <w:tcBorders>
                    <w:top w:val="single" w:sz="4" w:space="0" w:color="auto"/>
                    <w:left w:val="single" w:sz="4" w:space="0" w:color="auto"/>
                    <w:bottom w:val="nil"/>
                    <w:right w:val="single" w:sz="4" w:space="0" w:color="auto"/>
                  </w:tcBorders>
                  <w:shd w:val="clear" w:color="auto" w:fill="auto"/>
                  <w:noWrap/>
                  <w:vAlign w:val="bottom"/>
                  <w:hideMark/>
                </w:tcPr>
                <w:p w14:paraId="6F339C92" w14:textId="521071A2" w:rsidR="00054661" w:rsidRPr="008B7085" w:rsidRDefault="006401EF" w:rsidP="00891C26">
                  <w:pPr>
                    <w:spacing w:line="276" w:lineRule="auto"/>
                    <w:jc w:val="center"/>
                  </w:pPr>
                  <w:r>
                    <w:t>-</w:t>
                  </w:r>
                </w:p>
              </w:tc>
            </w:tr>
            <w:tr w:rsidR="00054661" w:rsidRPr="00AD0A95" w14:paraId="42B5F993" w14:textId="77777777" w:rsidTr="00246467">
              <w:trPr>
                <w:trHeight w:val="315"/>
              </w:trPr>
              <w:tc>
                <w:tcPr>
                  <w:tcW w:w="5752" w:type="dxa"/>
                  <w:tcBorders>
                    <w:top w:val="nil"/>
                    <w:left w:val="single" w:sz="4" w:space="0" w:color="auto"/>
                    <w:bottom w:val="single" w:sz="4" w:space="0" w:color="auto"/>
                    <w:right w:val="single" w:sz="4" w:space="0" w:color="auto"/>
                  </w:tcBorders>
                  <w:shd w:val="clear" w:color="auto" w:fill="auto"/>
                  <w:noWrap/>
                  <w:vAlign w:val="bottom"/>
                  <w:hideMark/>
                </w:tcPr>
                <w:p w14:paraId="71665A71" w14:textId="77777777" w:rsidR="00054661" w:rsidRPr="00054661" w:rsidRDefault="00054661" w:rsidP="00891C26">
                  <w:pPr>
                    <w:widowControl/>
                    <w:autoSpaceDE/>
                    <w:autoSpaceDN/>
                    <w:adjustRightInd/>
                    <w:spacing w:line="276" w:lineRule="auto"/>
                    <w:jc w:val="both"/>
                  </w:pPr>
                  <w:r w:rsidRPr="00054661">
                    <w:t>2. Коефициент на дългосрочните пасиви</w:t>
                  </w:r>
                </w:p>
              </w:tc>
              <w:tc>
                <w:tcPr>
                  <w:tcW w:w="1698" w:type="dxa"/>
                  <w:tcBorders>
                    <w:top w:val="nil"/>
                    <w:left w:val="nil"/>
                    <w:bottom w:val="single" w:sz="4" w:space="0" w:color="auto"/>
                    <w:right w:val="nil"/>
                  </w:tcBorders>
                  <w:shd w:val="clear" w:color="auto" w:fill="auto"/>
                  <w:noWrap/>
                  <w:vAlign w:val="bottom"/>
                  <w:hideMark/>
                </w:tcPr>
                <w:p w14:paraId="7EA88CCB" w14:textId="77777777" w:rsidR="00054661" w:rsidRDefault="00054661" w:rsidP="00891C26">
                  <w:pPr>
                    <w:spacing w:line="276" w:lineRule="auto"/>
                    <w:jc w:val="center"/>
                  </w:pPr>
                  <w:r>
                    <w:t> </w:t>
                  </w:r>
                </w:p>
              </w:tc>
              <w:tc>
                <w:tcPr>
                  <w:tcW w:w="1558" w:type="dxa"/>
                  <w:tcBorders>
                    <w:top w:val="nil"/>
                    <w:left w:val="single" w:sz="4" w:space="0" w:color="auto"/>
                    <w:bottom w:val="single" w:sz="4" w:space="0" w:color="auto"/>
                    <w:right w:val="single" w:sz="4" w:space="0" w:color="auto"/>
                  </w:tcBorders>
                  <w:shd w:val="clear" w:color="auto" w:fill="auto"/>
                  <w:noWrap/>
                  <w:vAlign w:val="bottom"/>
                  <w:hideMark/>
                </w:tcPr>
                <w:p w14:paraId="232E4FBE" w14:textId="5BE44691" w:rsidR="00054661" w:rsidRPr="006401EF" w:rsidRDefault="002D199C" w:rsidP="00891C26">
                  <w:pPr>
                    <w:spacing w:line="276" w:lineRule="auto"/>
                    <w:jc w:val="center"/>
                  </w:pPr>
                  <w:r w:rsidRPr="00C101D7">
                    <w:rPr>
                      <w:lang w:val="en-US"/>
                    </w:rPr>
                    <w:t>0.</w:t>
                  </w:r>
                  <w:r w:rsidR="006401EF">
                    <w:t>976</w:t>
                  </w:r>
                </w:p>
              </w:tc>
            </w:tr>
          </w:tbl>
          <w:p w14:paraId="5A34562A" w14:textId="77777777" w:rsidR="009F4EFF" w:rsidRPr="00AD0A95" w:rsidRDefault="009F4EFF" w:rsidP="00891C26">
            <w:pPr>
              <w:widowControl/>
              <w:autoSpaceDE/>
              <w:autoSpaceDN/>
              <w:adjustRightInd/>
              <w:spacing w:line="276" w:lineRule="auto"/>
              <w:ind w:firstLine="567"/>
              <w:jc w:val="both"/>
              <w:rPr>
                <w:b/>
                <w:bCs/>
                <w:color w:val="FF0000"/>
              </w:rPr>
            </w:pPr>
          </w:p>
        </w:tc>
      </w:tr>
    </w:tbl>
    <w:p w14:paraId="6C939FA9" w14:textId="20D8D4C3" w:rsidR="006B780E" w:rsidRDefault="006B780E" w:rsidP="00891C26">
      <w:pPr>
        <w:spacing w:line="276" w:lineRule="auto"/>
        <w:ind w:firstLine="567"/>
        <w:jc w:val="both"/>
        <w:rPr>
          <w:color w:val="FF0000"/>
        </w:rPr>
      </w:pPr>
    </w:p>
    <w:p w14:paraId="3966FB7B" w14:textId="3ECA71D4" w:rsidR="006A7C16" w:rsidRDefault="006A7C16" w:rsidP="00891C26">
      <w:pPr>
        <w:spacing w:line="276" w:lineRule="auto"/>
        <w:ind w:firstLine="567"/>
        <w:jc w:val="both"/>
        <w:rPr>
          <w:color w:val="FF0000"/>
        </w:rPr>
      </w:pPr>
    </w:p>
    <w:p w14:paraId="777DAB2D" w14:textId="2B1CE365" w:rsidR="006A7C16" w:rsidRDefault="006A7C16" w:rsidP="00891C26">
      <w:pPr>
        <w:spacing w:line="276" w:lineRule="auto"/>
        <w:ind w:firstLine="567"/>
        <w:jc w:val="both"/>
        <w:rPr>
          <w:color w:val="FF0000"/>
        </w:rPr>
      </w:pPr>
    </w:p>
    <w:p w14:paraId="0E4C71E3" w14:textId="77777777" w:rsidR="006A7C16" w:rsidRPr="00AD0A95" w:rsidRDefault="006A7C16" w:rsidP="00891C26">
      <w:pPr>
        <w:spacing w:line="276" w:lineRule="auto"/>
        <w:ind w:firstLine="567"/>
        <w:jc w:val="both"/>
        <w:rPr>
          <w:color w:val="FF0000"/>
        </w:rPr>
      </w:pPr>
    </w:p>
    <w:p w14:paraId="76610A9B" w14:textId="77777777" w:rsidR="009F4EFF" w:rsidRPr="00C67CA3" w:rsidRDefault="007E7782" w:rsidP="00891C26">
      <w:pPr>
        <w:pStyle w:val="BodyText"/>
        <w:spacing w:line="276" w:lineRule="auto"/>
        <w:ind w:firstLine="851"/>
        <w:jc w:val="both"/>
      </w:pPr>
      <w:r w:rsidRPr="00C67CA3">
        <w:lastRenderedPageBreak/>
        <w:t xml:space="preserve">След </w:t>
      </w:r>
      <w:r w:rsidRPr="00C67CA3">
        <w:rPr>
          <w:bCs/>
        </w:rPr>
        <w:t>счетоводното</w:t>
      </w:r>
      <w:r w:rsidRPr="00C67CA3">
        <w:t xml:space="preserve"> приключване на 201</w:t>
      </w:r>
      <w:r w:rsidR="003B6ADD">
        <w:rPr>
          <w:lang w:val="en-GB"/>
        </w:rPr>
        <w:t>9</w:t>
      </w:r>
      <w:r w:rsidRPr="00C67CA3">
        <w:t xml:space="preserve"> година, финансовите резултати от дейността на </w:t>
      </w:r>
      <w:r w:rsidR="00AE2C0E" w:rsidRPr="00C67CA3">
        <w:t>„</w:t>
      </w:r>
      <w:r w:rsidRPr="00C67CA3">
        <w:t>Водоснабдяване и канализация” ЕАД</w:t>
      </w:r>
      <w:r w:rsidR="00783C73" w:rsidRPr="00C67CA3">
        <w:t>,</w:t>
      </w:r>
      <w:r w:rsidRPr="00C67CA3">
        <w:t xml:space="preserve"> Бургас имат следния вид: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2890"/>
      </w:tblGrid>
      <w:tr w:rsidR="009F4EFF" w:rsidRPr="00C67CA3" w14:paraId="1A5B6FAA" w14:textId="77777777" w:rsidTr="00F60BED">
        <w:trPr>
          <w:trHeight w:val="568"/>
          <w:jc w:val="center"/>
        </w:trPr>
        <w:tc>
          <w:tcPr>
            <w:tcW w:w="3798" w:type="dxa"/>
            <w:vAlign w:val="center"/>
          </w:tcPr>
          <w:p w14:paraId="62E5F171" w14:textId="77777777" w:rsidR="009F4EFF" w:rsidRPr="00C67CA3" w:rsidRDefault="000F77FA" w:rsidP="00891C26">
            <w:pPr>
              <w:spacing w:line="276" w:lineRule="auto"/>
              <w:jc w:val="center"/>
              <w:rPr>
                <w:b/>
                <w:iCs/>
              </w:rPr>
            </w:pPr>
            <w:r w:rsidRPr="00C67CA3">
              <w:rPr>
                <w:b/>
                <w:iCs/>
              </w:rPr>
              <w:t>Наименование</w:t>
            </w:r>
          </w:p>
        </w:tc>
        <w:tc>
          <w:tcPr>
            <w:tcW w:w="2890" w:type="dxa"/>
            <w:vAlign w:val="center"/>
          </w:tcPr>
          <w:p w14:paraId="2A6C5DE9" w14:textId="77777777" w:rsidR="009F4EFF" w:rsidRPr="00C67CA3" w:rsidRDefault="000F77FA" w:rsidP="00891C26">
            <w:pPr>
              <w:spacing w:line="276" w:lineRule="auto"/>
              <w:jc w:val="center"/>
              <w:rPr>
                <w:b/>
                <w:iCs/>
              </w:rPr>
            </w:pPr>
            <w:r w:rsidRPr="00C67CA3">
              <w:rPr>
                <w:b/>
                <w:iCs/>
              </w:rPr>
              <w:t>хил. лв.</w:t>
            </w:r>
          </w:p>
        </w:tc>
      </w:tr>
      <w:tr w:rsidR="009F4EFF" w:rsidRPr="00C67CA3" w14:paraId="2D0F2E53" w14:textId="77777777" w:rsidTr="00F60BED">
        <w:trPr>
          <w:trHeight w:val="339"/>
          <w:jc w:val="center"/>
        </w:trPr>
        <w:tc>
          <w:tcPr>
            <w:tcW w:w="3798" w:type="dxa"/>
          </w:tcPr>
          <w:p w14:paraId="40D79331" w14:textId="77777777" w:rsidR="009F4EFF" w:rsidRPr="00C67CA3" w:rsidRDefault="000F77FA" w:rsidP="00891C26">
            <w:pPr>
              <w:spacing w:line="276" w:lineRule="auto"/>
              <w:jc w:val="both"/>
            </w:pPr>
            <w:r w:rsidRPr="00C67CA3">
              <w:t>Приходи</w:t>
            </w:r>
          </w:p>
        </w:tc>
        <w:tc>
          <w:tcPr>
            <w:tcW w:w="2890" w:type="dxa"/>
            <w:vAlign w:val="center"/>
          </w:tcPr>
          <w:p w14:paraId="29368EC0" w14:textId="77777777" w:rsidR="00E63433" w:rsidRPr="00926261" w:rsidRDefault="00F94720" w:rsidP="00891C26">
            <w:pPr>
              <w:spacing w:line="276" w:lineRule="auto"/>
              <w:ind w:right="1081"/>
              <w:jc w:val="right"/>
              <w:rPr>
                <w:lang w:val="en-US"/>
              </w:rPr>
            </w:pPr>
            <w:r>
              <w:t>7</w:t>
            </w:r>
            <w:r w:rsidR="003B6ADD">
              <w:rPr>
                <w:lang w:val="en-GB"/>
              </w:rPr>
              <w:t>7</w:t>
            </w:r>
            <w:r>
              <w:t xml:space="preserve"> </w:t>
            </w:r>
            <w:r w:rsidR="003B6ADD">
              <w:rPr>
                <w:lang w:val="en-GB"/>
              </w:rPr>
              <w:t>479</w:t>
            </w:r>
          </w:p>
        </w:tc>
      </w:tr>
      <w:tr w:rsidR="009F4EFF" w:rsidRPr="00C67CA3" w14:paraId="18E1DBE2" w14:textId="77777777" w:rsidTr="00F60BED">
        <w:trPr>
          <w:trHeight w:val="207"/>
          <w:jc w:val="center"/>
        </w:trPr>
        <w:tc>
          <w:tcPr>
            <w:tcW w:w="3798" w:type="dxa"/>
          </w:tcPr>
          <w:p w14:paraId="3A70E013" w14:textId="77777777" w:rsidR="009F4EFF" w:rsidRPr="00C67CA3" w:rsidRDefault="000F77FA" w:rsidP="00891C26">
            <w:pPr>
              <w:spacing w:line="276" w:lineRule="auto"/>
              <w:jc w:val="both"/>
            </w:pPr>
            <w:r w:rsidRPr="00C67CA3">
              <w:t>Разходи</w:t>
            </w:r>
          </w:p>
        </w:tc>
        <w:tc>
          <w:tcPr>
            <w:tcW w:w="2890" w:type="dxa"/>
            <w:vAlign w:val="center"/>
          </w:tcPr>
          <w:p w14:paraId="1750FC0A" w14:textId="3EDF049D" w:rsidR="00E63433" w:rsidRPr="00926261" w:rsidRDefault="00855254" w:rsidP="00891C26">
            <w:pPr>
              <w:spacing w:line="276" w:lineRule="auto"/>
              <w:ind w:right="1081"/>
              <w:jc w:val="right"/>
              <w:rPr>
                <w:lang w:val="en-US"/>
              </w:rPr>
            </w:pPr>
            <w:r>
              <w:t>7</w:t>
            </w:r>
            <w:r>
              <w:rPr>
                <w:lang w:val="en-GB"/>
              </w:rPr>
              <w:t>4</w:t>
            </w:r>
            <w:r>
              <w:t xml:space="preserve"> </w:t>
            </w:r>
            <w:r w:rsidR="003B6ADD">
              <w:rPr>
                <w:lang w:val="en-GB"/>
              </w:rPr>
              <w:t>399</w:t>
            </w:r>
          </w:p>
        </w:tc>
      </w:tr>
      <w:tr w:rsidR="006B780E" w:rsidRPr="00C67CA3" w14:paraId="76702502" w14:textId="77777777" w:rsidTr="00F60BED">
        <w:trPr>
          <w:trHeight w:val="361"/>
          <w:jc w:val="center"/>
        </w:trPr>
        <w:tc>
          <w:tcPr>
            <w:tcW w:w="3798" w:type="dxa"/>
          </w:tcPr>
          <w:p w14:paraId="2BBD352F" w14:textId="2BBB3598" w:rsidR="006B780E" w:rsidRPr="00C67CA3" w:rsidRDefault="000F77FA" w:rsidP="00891C26">
            <w:pPr>
              <w:spacing w:line="276" w:lineRule="auto"/>
              <w:jc w:val="both"/>
            </w:pPr>
            <w:r w:rsidRPr="00C67CA3">
              <w:t>Счетоводна печалба</w:t>
            </w:r>
            <w:r w:rsidR="00855254">
              <w:t>, преди данъци</w:t>
            </w:r>
          </w:p>
        </w:tc>
        <w:tc>
          <w:tcPr>
            <w:tcW w:w="2890" w:type="dxa"/>
            <w:vAlign w:val="center"/>
          </w:tcPr>
          <w:p w14:paraId="14AE1BE0" w14:textId="77777777" w:rsidR="00EE6BC8" w:rsidRPr="00C67CA3" w:rsidRDefault="00F13228" w:rsidP="00891C26">
            <w:pPr>
              <w:spacing w:line="276" w:lineRule="auto"/>
              <w:ind w:right="1081"/>
              <w:jc w:val="right"/>
            </w:pPr>
            <w:r w:rsidRPr="00C67CA3">
              <w:t xml:space="preserve">3 </w:t>
            </w:r>
            <w:r w:rsidR="002749B6">
              <w:t>0</w:t>
            </w:r>
            <w:r w:rsidR="003B6ADD">
              <w:rPr>
                <w:lang w:val="en-GB"/>
              </w:rPr>
              <w:t>80</w:t>
            </w:r>
          </w:p>
        </w:tc>
      </w:tr>
    </w:tbl>
    <w:p w14:paraId="4748A640" w14:textId="77777777" w:rsidR="00047311" w:rsidRPr="00C67CA3" w:rsidRDefault="00047311" w:rsidP="00891C26">
      <w:pPr>
        <w:spacing w:line="276" w:lineRule="auto"/>
        <w:ind w:firstLine="567"/>
        <w:jc w:val="both"/>
      </w:pPr>
    </w:p>
    <w:p w14:paraId="491ECE13" w14:textId="77777777" w:rsidR="009F4EFF" w:rsidRPr="00C67CA3" w:rsidRDefault="000F77FA" w:rsidP="00891C26">
      <w:pPr>
        <w:pStyle w:val="ListParagraph"/>
        <w:widowControl/>
        <w:numPr>
          <w:ilvl w:val="1"/>
          <w:numId w:val="30"/>
        </w:numPr>
        <w:tabs>
          <w:tab w:val="left" w:pos="1134"/>
        </w:tabs>
        <w:autoSpaceDE/>
        <w:autoSpaceDN/>
        <w:adjustRightInd/>
        <w:spacing w:before="240" w:line="276" w:lineRule="auto"/>
        <w:ind w:left="1134" w:hanging="283"/>
        <w:jc w:val="both"/>
        <w:rPr>
          <w:b/>
          <w:bCs/>
        </w:rPr>
      </w:pPr>
      <w:r w:rsidRPr="00C67CA3">
        <w:rPr>
          <w:b/>
          <w:bCs/>
        </w:rPr>
        <w:t>Източници на финансиране</w:t>
      </w:r>
    </w:p>
    <w:p w14:paraId="3DD48D2A" w14:textId="56A3C229" w:rsidR="00835A5A" w:rsidRPr="00523F35" w:rsidRDefault="000F77FA" w:rsidP="00891C26">
      <w:pPr>
        <w:pStyle w:val="BodyText"/>
        <w:spacing w:line="276" w:lineRule="auto"/>
        <w:ind w:firstLine="851"/>
        <w:jc w:val="both"/>
      </w:pPr>
      <w:r w:rsidRPr="00C67CA3">
        <w:t xml:space="preserve">Собствени приходи в размер на </w:t>
      </w:r>
      <w:r w:rsidR="00F94720">
        <w:t>7</w:t>
      </w:r>
      <w:r w:rsidR="003B6ADD">
        <w:rPr>
          <w:lang w:val="en-GB"/>
        </w:rPr>
        <w:t>7</w:t>
      </w:r>
      <w:r w:rsidR="00F94720">
        <w:t xml:space="preserve"> </w:t>
      </w:r>
      <w:r w:rsidR="003B6ADD">
        <w:rPr>
          <w:lang w:val="en-GB"/>
        </w:rPr>
        <w:t>479</w:t>
      </w:r>
      <w:r w:rsidR="00273024">
        <w:t xml:space="preserve"> </w:t>
      </w:r>
      <w:r w:rsidRPr="00C67CA3">
        <w:t xml:space="preserve">хил. лв. Основният дял, в размер на </w:t>
      </w:r>
      <w:r w:rsidR="00523F35">
        <w:rPr>
          <w:lang w:val="en-GB"/>
        </w:rPr>
        <w:t xml:space="preserve">62 </w:t>
      </w:r>
      <w:r w:rsidR="0043739D">
        <w:rPr>
          <w:rFonts w:cs="Arial"/>
        </w:rPr>
        <w:t xml:space="preserve"> </w:t>
      </w:r>
      <w:r w:rsidR="00523F35">
        <w:rPr>
          <w:rFonts w:cs="Arial"/>
          <w:lang w:val="en-GB"/>
        </w:rPr>
        <w:t>88</w:t>
      </w:r>
      <w:r w:rsidR="00D87782">
        <w:rPr>
          <w:rFonts w:cs="Arial"/>
        </w:rPr>
        <w:t>3</w:t>
      </w:r>
      <w:r w:rsidR="007E7782" w:rsidRPr="00C67CA3">
        <w:rPr>
          <w:rFonts w:cs="Arial"/>
        </w:rPr>
        <w:t xml:space="preserve"> </w:t>
      </w:r>
      <w:r w:rsidRPr="00C67CA3">
        <w:t xml:space="preserve">хил. лв. или </w:t>
      </w:r>
      <w:r w:rsidR="0043739D">
        <w:t>81</w:t>
      </w:r>
      <w:r w:rsidR="00523F35">
        <w:rPr>
          <w:lang w:val="en-GB"/>
        </w:rPr>
        <w:t>.16</w:t>
      </w:r>
      <w:r w:rsidRPr="00C67CA3">
        <w:t xml:space="preserve"> % от годишните приходи, се формира от предоставянето на услуги, свързани с </w:t>
      </w:r>
      <w:r w:rsidRPr="00C67CA3">
        <w:rPr>
          <w:bCs/>
        </w:rPr>
        <w:t>водоснабдяване</w:t>
      </w:r>
      <w:r w:rsidRPr="00C67CA3">
        <w:t xml:space="preserve">, канализация и пречистване на отпадни води. Дружеството е реализирало </w:t>
      </w:r>
      <w:r w:rsidR="00523F35">
        <w:rPr>
          <w:lang w:val="en-GB"/>
        </w:rPr>
        <w:t>76</w:t>
      </w:r>
      <w:r w:rsidR="00D87782">
        <w:t>5</w:t>
      </w:r>
      <w:r w:rsidRPr="00C67CA3">
        <w:t xml:space="preserve"> хил. лв. приходи и от предоставянето на други услуги (издаване на разрешителни, калибриране на водомери, становища, съгласуване на скици и проекти и др.) или </w:t>
      </w:r>
      <w:r w:rsidR="00F94720">
        <w:t>0,9</w:t>
      </w:r>
      <w:r w:rsidR="00523F35">
        <w:rPr>
          <w:lang w:val="en-GB"/>
        </w:rPr>
        <w:t>9</w:t>
      </w:r>
      <w:r w:rsidR="00783C73" w:rsidRPr="00C67CA3">
        <w:t xml:space="preserve"> </w:t>
      </w:r>
      <w:r w:rsidRPr="00C67CA3">
        <w:t xml:space="preserve">%. Другите приходи в размер на </w:t>
      </w:r>
      <w:r w:rsidR="00F94720">
        <w:t>1</w:t>
      </w:r>
      <w:r w:rsidR="00523F35">
        <w:rPr>
          <w:lang w:val="en-GB"/>
        </w:rPr>
        <w:t>3</w:t>
      </w:r>
      <w:r w:rsidR="00461980">
        <w:rPr>
          <w:rFonts w:cs="Arial"/>
          <w:bCs/>
        </w:rPr>
        <w:t xml:space="preserve"> </w:t>
      </w:r>
      <w:r w:rsidR="00523F35">
        <w:rPr>
          <w:rFonts w:cs="Arial"/>
          <w:bCs/>
          <w:lang w:val="en-GB"/>
        </w:rPr>
        <w:t>83</w:t>
      </w:r>
      <w:r w:rsidR="002A67C6">
        <w:rPr>
          <w:rFonts w:cs="Arial"/>
          <w:bCs/>
        </w:rPr>
        <w:t>0</w:t>
      </w:r>
      <w:r w:rsidR="00BE7FEC" w:rsidRPr="00C67CA3">
        <w:rPr>
          <w:rFonts w:cs="Arial"/>
          <w:bCs/>
        </w:rPr>
        <w:t xml:space="preserve"> </w:t>
      </w:r>
      <w:r w:rsidR="00591AD3" w:rsidRPr="00C67CA3">
        <w:rPr>
          <w:rFonts w:cs="Arial"/>
          <w:bCs/>
        </w:rPr>
        <w:t>хил. лв</w:t>
      </w:r>
      <w:r w:rsidR="00BE7FEC" w:rsidRPr="00C67CA3">
        <w:rPr>
          <w:rFonts w:cs="Arial"/>
          <w:bCs/>
        </w:rPr>
        <w:t>.</w:t>
      </w:r>
      <w:r w:rsidRPr="00C67CA3">
        <w:rPr>
          <w:rFonts w:cs="Arial"/>
          <w:b/>
          <w:bCs/>
        </w:rPr>
        <w:t xml:space="preserve"> </w:t>
      </w:r>
      <w:r w:rsidRPr="00C67CA3">
        <w:t xml:space="preserve">съставляват </w:t>
      </w:r>
      <w:r w:rsidR="00B82369">
        <w:t>17,8</w:t>
      </w:r>
      <w:r w:rsidR="00523F35">
        <w:rPr>
          <w:lang w:val="en-GB"/>
        </w:rPr>
        <w:t>5</w:t>
      </w:r>
      <w:r w:rsidRPr="00C67CA3">
        <w:t xml:space="preserve"> % от общата стойност на приходите. Тук са отчетени извършените инвестиции</w:t>
      </w:r>
      <w:r w:rsidR="00691079">
        <w:t xml:space="preserve"> в публични активи в размер на </w:t>
      </w:r>
      <w:r w:rsidR="004F41A8">
        <w:rPr>
          <w:rFonts w:cs="Arial"/>
        </w:rPr>
        <w:t>1</w:t>
      </w:r>
      <w:r w:rsidR="00F94720">
        <w:rPr>
          <w:rFonts w:cs="Arial"/>
        </w:rPr>
        <w:t>1</w:t>
      </w:r>
      <w:r w:rsidR="004F41A8">
        <w:rPr>
          <w:rFonts w:cs="Arial"/>
        </w:rPr>
        <w:t xml:space="preserve"> </w:t>
      </w:r>
      <w:r w:rsidR="00523F35">
        <w:rPr>
          <w:rFonts w:cs="Arial"/>
          <w:lang w:val="en-GB"/>
        </w:rPr>
        <w:t>739</w:t>
      </w:r>
      <w:r w:rsidR="007E7782" w:rsidRPr="00C67CA3">
        <w:rPr>
          <w:rFonts w:cs="Arial"/>
        </w:rPr>
        <w:t xml:space="preserve"> хил.</w:t>
      </w:r>
      <w:r w:rsidR="00B62552" w:rsidRPr="00C67CA3">
        <w:rPr>
          <w:rFonts w:cs="Arial"/>
        </w:rPr>
        <w:t xml:space="preserve"> </w:t>
      </w:r>
      <w:r w:rsidR="007E7782" w:rsidRPr="00C67CA3">
        <w:rPr>
          <w:rFonts w:cs="Arial"/>
        </w:rPr>
        <w:t>лв.</w:t>
      </w:r>
      <w:r w:rsidR="00523F35">
        <w:rPr>
          <w:rFonts w:cs="Arial"/>
          <w:lang w:val="en-GB"/>
        </w:rPr>
        <w:t xml:space="preserve"> </w:t>
      </w:r>
      <w:r w:rsidR="00523F35">
        <w:rPr>
          <w:rFonts w:cs="Arial"/>
        </w:rPr>
        <w:t xml:space="preserve">и 319 хил. лв. </w:t>
      </w:r>
      <w:r w:rsidR="002A67C6">
        <w:rPr>
          <w:rFonts w:cs="Arial"/>
        </w:rPr>
        <w:t xml:space="preserve">приходи </w:t>
      </w:r>
      <w:r w:rsidR="00523F35">
        <w:rPr>
          <w:rFonts w:cs="Arial"/>
        </w:rPr>
        <w:t>по Оперативни програми.</w:t>
      </w:r>
    </w:p>
    <w:p w14:paraId="1E384B11" w14:textId="77777777" w:rsidR="00FD45E3" w:rsidRPr="00C67CA3" w:rsidRDefault="00FD45E3" w:rsidP="00891C26">
      <w:pPr>
        <w:spacing w:line="276" w:lineRule="auto"/>
        <w:jc w:val="both"/>
      </w:pPr>
    </w:p>
    <w:p w14:paraId="70A4979A" w14:textId="77777777" w:rsidR="009F4EFF" w:rsidRPr="00C67CA3" w:rsidRDefault="003405B0" w:rsidP="00891C26">
      <w:pPr>
        <w:spacing w:line="276" w:lineRule="auto"/>
        <w:jc w:val="center"/>
      </w:pPr>
      <w:r>
        <w:rPr>
          <w:noProof/>
        </w:rPr>
        <w:drawing>
          <wp:inline distT="0" distB="0" distL="0" distR="0" wp14:anchorId="11EB023E" wp14:editId="25DB9A08">
            <wp:extent cx="5753100" cy="3486150"/>
            <wp:effectExtent l="19050" t="0" r="19050" b="0"/>
            <wp:docPr id="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58D345" w14:textId="77777777" w:rsidR="006C2409" w:rsidRPr="00C67CA3" w:rsidRDefault="006C2409" w:rsidP="00891C26">
      <w:pPr>
        <w:spacing w:line="276" w:lineRule="auto"/>
        <w:ind w:firstLine="567"/>
        <w:jc w:val="both"/>
      </w:pPr>
    </w:p>
    <w:p w14:paraId="6BAE06A9" w14:textId="77777777" w:rsidR="009F4EFF" w:rsidRPr="00567057" w:rsidRDefault="000F77FA" w:rsidP="00891C26">
      <w:pPr>
        <w:pStyle w:val="ListParagraph"/>
        <w:widowControl/>
        <w:numPr>
          <w:ilvl w:val="1"/>
          <w:numId w:val="30"/>
        </w:numPr>
        <w:tabs>
          <w:tab w:val="left" w:pos="1134"/>
        </w:tabs>
        <w:autoSpaceDE/>
        <w:autoSpaceDN/>
        <w:adjustRightInd/>
        <w:spacing w:before="240" w:line="276" w:lineRule="auto"/>
        <w:ind w:left="1134" w:hanging="283"/>
        <w:jc w:val="both"/>
        <w:rPr>
          <w:b/>
          <w:bCs/>
        </w:rPr>
      </w:pPr>
      <w:r w:rsidRPr="00567057">
        <w:rPr>
          <w:b/>
          <w:bCs/>
        </w:rPr>
        <w:t>Разходи</w:t>
      </w:r>
    </w:p>
    <w:p w14:paraId="0E426055" w14:textId="77777777" w:rsidR="00835A5A" w:rsidRPr="00567057" w:rsidRDefault="007E7782" w:rsidP="00891C26">
      <w:pPr>
        <w:pStyle w:val="BodyText"/>
        <w:spacing w:line="276" w:lineRule="auto"/>
        <w:ind w:firstLine="851"/>
        <w:jc w:val="both"/>
        <w:rPr>
          <w:bCs/>
        </w:rPr>
      </w:pPr>
      <w:r w:rsidRPr="00567057">
        <w:rPr>
          <w:bCs/>
        </w:rPr>
        <w:t>Отчетените през 201</w:t>
      </w:r>
      <w:r w:rsidR="00523F35">
        <w:rPr>
          <w:bCs/>
        </w:rPr>
        <w:t>9</w:t>
      </w:r>
      <w:r w:rsidRPr="00567057">
        <w:rPr>
          <w:bCs/>
        </w:rPr>
        <w:t xml:space="preserve"> година разходи са в размер на </w:t>
      </w:r>
      <w:r w:rsidR="00523F35">
        <w:rPr>
          <w:bCs/>
        </w:rPr>
        <w:t>74</w:t>
      </w:r>
      <w:r w:rsidR="004304E0">
        <w:rPr>
          <w:bCs/>
        </w:rPr>
        <w:t xml:space="preserve"> </w:t>
      </w:r>
      <w:r w:rsidR="00523F35">
        <w:rPr>
          <w:bCs/>
        </w:rPr>
        <w:t>399</w:t>
      </w:r>
      <w:r w:rsidR="00BA7EED" w:rsidRPr="00567057">
        <w:rPr>
          <w:rFonts w:ascii="Arial" w:hAnsi="Arial" w:cs="Arial"/>
          <w:sz w:val="20"/>
          <w:szCs w:val="20"/>
        </w:rPr>
        <w:t xml:space="preserve"> </w:t>
      </w:r>
      <w:r w:rsidRPr="00567057">
        <w:rPr>
          <w:bCs/>
        </w:rPr>
        <w:t>хил. лв., от които разходи  за основна дейност –</w:t>
      </w:r>
      <w:r w:rsidR="00523F35">
        <w:rPr>
          <w:bCs/>
        </w:rPr>
        <w:t xml:space="preserve"> 46 115</w:t>
      </w:r>
      <w:r w:rsidRPr="00567057">
        <w:rPr>
          <w:bCs/>
        </w:rPr>
        <w:t xml:space="preserve">  хил. лв., ра</w:t>
      </w:r>
      <w:r w:rsidR="00A46BC1">
        <w:rPr>
          <w:bCs/>
        </w:rPr>
        <w:t xml:space="preserve">зходи за спомагателна дейност </w:t>
      </w:r>
      <w:r w:rsidR="00523F35">
        <w:rPr>
          <w:bCs/>
        </w:rPr>
        <w:t>4</w:t>
      </w:r>
      <w:r w:rsidR="00C5372F">
        <w:rPr>
          <w:bCs/>
          <w:lang w:val="en-US"/>
        </w:rPr>
        <w:t xml:space="preserve"> </w:t>
      </w:r>
      <w:r w:rsidR="00523F35">
        <w:rPr>
          <w:bCs/>
        </w:rPr>
        <w:t>344</w:t>
      </w:r>
      <w:r w:rsidRPr="00567057">
        <w:rPr>
          <w:bCs/>
        </w:rPr>
        <w:t xml:space="preserve"> хил.</w:t>
      </w:r>
      <w:r w:rsidR="00A46BC1">
        <w:rPr>
          <w:bCs/>
        </w:rPr>
        <w:t xml:space="preserve"> </w:t>
      </w:r>
      <w:r w:rsidRPr="00567057">
        <w:rPr>
          <w:bCs/>
        </w:rPr>
        <w:t>лв., разходи за организация и управление</w:t>
      </w:r>
      <w:r w:rsidR="00F261A3">
        <w:rPr>
          <w:bCs/>
          <w:lang w:val="en-US"/>
        </w:rPr>
        <w:t xml:space="preserve"> </w:t>
      </w:r>
      <w:r w:rsidRPr="00567057">
        <w:rPr>
          <w:bCs/>
        </w:rPr>
        <w:t xml:space="preserve">– </w:t>
      </w:r>
      <w:r w:rsidR="00892DC6">
        <w:rPr>
          <w:bCs/>
        </w:rPr>
        <w:t>2</w:t>
      </w:r>
      <w:r w:rsidR="00523F35">
        <w:rPr>
          <w:bCs/>
        </w:rPr>
        <w:t>1</w:t>
      </w:r>
      <w:r w:rsidR="00F261A3">
        <w:rPr>
          <w:bCs/>
          <w:lang w:val="en-US"/>
        </w:rPr>
        <w:t xml:space="preserve"> </w:t>
      </w:r>
      <w:r w:rsidR="00523F35">
        <w:rPr>
          <w:bCs/>
        </w:rPr>
        <w:t>522</w:t>
      </w:r>
      <w:r w:rsidRPr="00567057">
        <w:rPr>
          <w:bCs/>
        </w:rPr>
        <w:t xml:space="preserve"> хил. лв.,</w:t>
      </w:r>
      <w:r w:rsidR="00A46BC1">
        <w:rPr>
          <w:bCs/>
        </w:rPr>
        <w:t xml:space="preserve"> разходи, свързани с продажбите</w:t>
      </w:r>
      <w:r w:rsidR="00F261A3">
        <w:rPr>
          <w:bCs/>
          <w:lang w:val="en-US"/>
        </w:rPr>
        <w:t xml:space="preserve"> </w:t>
      </w:r>
      <w:r w:rsidRPr="00567057">
        <w:rPr>
          <w:bCs/>
        </w:rPr>
        <w:t xml:space="preserve">– </w:t>
      </w:r>
      <w:r w:rsidR="00523F35">
        <w:rPr>
          <w:bCs/>
        </w:rPr>
        <w:t>564</w:t>
      </w:r>
      <w:r w:rsidRPr="00567057">
        <w:rPr>
          <w:bCs/>
        </w:rPr>
        <w:t xml:space="preserve"> хил. лв. и финансови разходи в размер на </w:t>
      </w:r>
      <w:r w:rsidR="00523F35">
        <w:rPr>
          <w:bCs/>
        </w:rPr>
        <w:t>1</w:t>
      </w:r>
      <w:r w:rsidR="00F261A3">
        <w:rPr>
          <w:bCs/>
          <w:lang w:val="en-US"/>
        </w:rPr>
        <w:t xml:space="preserve"> </w:t>
      </w:r>
      <w:r w:rsidR="00523F35">
        <w:rPr>
          <w:bCs/>
        </w:rPr>
        <w:t>854</w:t>
      </w:r>
      <w:r w:rsidRPr="00567057">
        <w:rPr>
          <w:bCs/>
        </w:rPr>
        <w:t xml:space="preserve"> хил. лв.</w:t>
      </w:r>
    </w:p>
    <w:p w14:paraId="237655C0" w14:textId="77777777" w:rsidR="00047311" w:rsidRPr="00567057" w:rsidRDefault="00047311" w:rsidP="00891C26">
      <w:pPr>
        <w:spacing w:after="240" w:line="276" w:lineRule="auto"/>
        <w:ind w:firstLine="567"/>
        <w:jc w:val="both"/>
        <w:rPr>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1526"/>
      </w:tblGrid>
      <w:tr w:rsidR="00E0340B" w:rsidRPr="00C67CA3" w14:paraId="4C5D188F" w14:textId="77777777" w:rsidTr="0050597D">
        <w:trPr>
          <w:trHeight w:val="584"/>
          <w:tblHeader/>
          <w:jc w:val="center"/>
        </w:trPr>
        <w:tc>
          <w:tcPr>
            <w:tcW w:w="4678" w:type="dxa"/>
            <w:vAlign w:val="center"/>
          </w:tcPr>
          <w:p w14:paraId="0DC47B6C" w14:textId="77777777" w:rsidR="00E0340B" w:rsidRPr="00C67CA3" w:rsidRDefault="0062295A" w:rsidP="00891C26">
            <w:pPr>
              <w:spacing w:line="276" w:lineRule="auto"/>
              <w:jc w:val="center"/>
              <w:rPr>
                <w:b/>
              </w:rPr>
            </w:pPr>
            <w:r w:rsidRPr="00C67CA3">
              <w:rPr>
                <w:b/>
              </w:rPr>
              <w:t>Вид на разходите</w:t>
            </w:r>
          </w:p>
        </w:tc>
        <w:tc>
          <w:tcPr>
            <w:tcW w:w="1526" w:type="dxa"/>
            <w:vAlign w:val="center"/>
          </w:tcPr>
          <w:p w14:paraId="45BF9B73" w14:textId="77777777" w:rsidR="0062295A" w:rsidRPr="00C67CA3" w:rsidRDefault="0062295A" w:rsidP="00891C26">
            <w:pPr>
              <w:spacing w:line="276" w:lineRule="auto"/>
              <w:ind w:left="-216"/>
              <w:jc w:val="center"/>
              <w:rPr>
                <w:b/>
              </w:rPr>
            </w:pPr>
            <w:r w:rsidRPr="00C67CA3">
              <w:rPr>
                <w:b/>
              </w:rPr>
              <w:t>Сума</w:t>
            </w:r>
          </w:p>
          <w:p w14:paraId="62BB73FA" w14:textId="77777777" w:rsidR="00E0340B" w:rsidRPr="00C67CA3" w:rsidRDefault="0062295A" w:rsidP="00891C26">
            <w:pPr>
              <w:spacing w:line="276" w:lineRule="auto"/>
              <w:ind w:left="-216"/>
              <w:jc w:val="center"/>
              <w:rPr>
                <w:b/>
              </w:rPr>
            </w:pPr>
            <w:r w:rsidRPr="00C67CA3">
              <w:rPr>
                <w:b/>
              </w:rPr>
              <w:t>в хил. лв</w:t>
            </w:r>
            <w:r w:rsidR="0000280B" w:rsidRPr="00C67CA3">
              <w:rPr>
                <w:b/>
              </w:rPr>
              <w:t>.</w:t>
            </w:r>
          </w:p>
        </w:tc>
      </w:tr>
      <w:tr w:rsidR="00E0340B" w:rsidRPr="00C67CA3" w14:paraId="22597C56" w14:textId="77777777" w:rsidTr="0050597D">
        <w:trPr>
          <w:jc w:val="center"/>
        </w:trPr>
        <w:tc>
          <w:tcPr>
            <w:tcW w:w="4678" w:type="dxa"/>
          </w:tcPr>
          <w:p w14:paraId="2A83FE84" w14:textId="77777777" w:rsidR="00E0340B" w:rsidRPr="00C67CA3" w:rsidRDefault="00E0340B" w:rsidP="00891C26">
            <w:pPr>
              <w:spacing w:line="276" w:lineRule="auto"/>
              <w:jc w:val="both"/>
            </w:pPr>
            <w:r w:rsidRPr="00C67CA3">
              <w:t>Материали</w:t>
            </w:r>
          </w:p>
        </w:tc>
        <w:tc>
          <w:tcPr>
            <w:tcW w:w="1526" w:type="dxa"/>
          </w:tcPr>
          <w:p w14:paraId="24C7DC41" w14:textId="77777777" w:rsidR="00E0340B" w:rsidRPr="00C67CA3" w:rsidRDefault="00A46BC1" w:rsidP="00891C26">
            <w:pPr>
              <w:spacing w:line="276" w:lineRule="auto"/>
              <w:ind w:left="-216" w:right="142"/>
              <w:jc w:val="right"/>
            </w:pPr>
            <w:r>
              <w:t>1</w:t>
            </w:r>
            <w:r w:rsidR="00523F35">
              <w:t>4</w:t>
            </w:r>
            <w:r>
              <w:t xml:space="preserve"> </w:t>
            </w:r>
            <w:r w:rsidR="00523F35">
              <w:t>853</w:t>
            </w:r>
          </w:p>
        </w:tc>
      </w:tr>
      <w:tr w:rsidR="00E0340B" w:rsidRPr="00C67CA3" w14:paraId="7FE9A999" w14:textId="77777777" w:rsidTr="0050597D">
        <w:trPr>
          <w:jc w:val="center"/>
        </w:trPr>
        <w:tc>
          <w:tcPr>
            <w:tcW w:w="4678" w:type="dxa"/>
          </w:tcPr>
          <w:p w14:paraId="5E03B719" w14:textId="77777777" w:rsidR="00E0340B" w:rsidRPr="00C67CA3" w:rsidRDefault="00E0340B" w:rsidP="00891C26">
            <w:pPr>
              <w:spacing w:line="276" w:lineRule="auto"/>
              <w:jc w:val="both"/>
            </w:pPr>
            <w:r w:rsidRPr="00C67CA3">
              <w:t>Амортизации</w:t>
            </w:r>
          </w:p>
        </w:tc>
        <w:tc>
          <w:tcPr>
            <w:tcW w:w="1526" w:type="dxa"/>
          </w:tcPr>
          <w:p w14:paraId="4F941B57" w14:textId="77777777" w:rsidR="00E0340B" w:rsidRPr="00C67CA3" w:rsidRDefault="00A46BC1" w:rsidP="00891C26">
            <w:pPr>
              <w:spacing w:line="276" w:lineRule="auto"/>
              <w:ind w:left="-216" w:right="142"/>
              <w:jc w:val="right"/>
            </w:pPr>
            <w:r>
              <w:rPr>
                <w:color w:val="000000"/>
              </w:rPr>
              <w:t xml:space="preserve">4 </w:t>
            </w:r>
            <w:r w:rsidR="00523F35">
              <w:rPr>
                <w:color w:val="000000"/>
              </w:rPr>
              <w:t>640</w:t>
            </w:r>
          </w:p>
        </w:tc>
      </w:tr>
      <w:tr w:rsidR="00E0340B" w:rsidRPr="00C67CA3" w14:paraId="4FEFCFE6" w14:textId="77777777" w:rsidTr="0050597D">
        <w:trPr>
          <w:jc w:val="center"/>
        </w:trPr>
        <w:tc>
          <w:tcPr>
            <w:tcW w:w="4678" w:type="dxa"/>
          </w:tcPr>
          <w:p w14:paraId="421C6059" w14:textId="77777777" w:rsidR="00E0340B" w:rsidRPr="00C67CA3" w:rsidRDefault="00E0340B" w:rsidP="00891C26">
            <w:pPr>
              <w:spacing w:line="276" w:lineRule="auto"/>
              <w:jc w:val="both"/>
            </w:pPr>
            <w:r w:rsidRPr="00C67CA3">
              <w:t>Външни услуги</w:t>
            </w:r>
          </w:p>
        </w:tc>
        <w:tc>
          <w:tcPr>
            <w:tcW w:w="1526" w:type="dxa"/>
          </w:tcPr>
          <w:p w14:paraId="55A90348" w14:textId="77777777" w:rsidR="00E0340B" w:rsidRPr="00AD1FD3" w:rsidRDefault="00AD1FD3" w:rsidP="00891C26">
            <w:pPr>
              <w:spacing w:line="276" w:lineRule="auto"/>
              <w:ind w:left="-216" w:right="142"/>
              <w:jc w:val="right"/>
              <w:rPr>
                <w:lang w:val="en-US"/>
              </w:rPr>
            </w:pPr>
            <w:r>
              <w:rPr>
                <w:color w:val="000000"/>
                <w:lang w:val="en-US"/>
              </w:rPr>
              <w:t>1</w:t>
            </w:r>
            <w:r w:rsidR="005B2E5D">
              <w:rPr>
                <w:color w:val="000000"/>
              </w:rPr>
              <w:t>3</w:t>
            </w:r>
            <w:r w:rsidR="00A46BC1">
              <w:rPr>
                <w:color w:val="000000"/>
              </w:rPr>
              <w:t xml:space="preserve"> </w:t>
            </w:r>
            <w:r w:rsidR="005B2E5D">
              <w:rPr>
                <w:color w:val="000000"/>
              </w:rPr>
              <w:t>275</w:t>
            </w:r>
          </w:p>
        </w:tc>
      </w:tr>
      <w:tr w:rsidR="00E0340B" w:rsidRPr="00C67CA3" w14:paraId="5C4B8327" w14:textId="77777777" w:rsidTr="0050597D">
        <w:trPr>
          <w:jc w:val="center"/>
        </w:trPr>
        <w:tc>
          <w:tcPr>
            <w:tcW w:w="4678" w:type="dxa"/>
          </w:tcPr>
          <w:p w14:paraId="3E07963A" w14:textId="77777777" w:rsidR="00E0340B" w:rsidRPr="00C67CA3" w:rsidRDefault="00E0340B" w:rsidP="00891C26">
            <w:pPr>
              <w:spacing w:line="276" w:lineRule="auto"/>
              <w:ind w:firstLine="318"/>
              <w:jc w:val="both"/>
              <w:rPr>
                <w:i/>
              </w:rPr>
            </w:pPr>
            <w:r w:rsidRPr="00C67CA3">
              <w:rPr>
                <w:i/>
              </w:rPr>
              <w:t>в т.ч. ремонти</w:t>
            </w:r>
          </w:p>
        </w:tc>
        <w:tc>
          <w:tcPr>
            <w:tcW w:w="1526" w:type="dxa"/>
          </w:tcPr>
          <w:p w14:paraId="441B0995" w14:textId="77777777" w:rsidR="00E0340B" w:rsidRPr="00082F3C" w:rsidRDefault="00A46BC1" w:rsidP="00891C26">
            <w:pPr>
              <w:spacing w:line="276" w:lineRule="auto"/>
              <w:ind w:left="-216" w:right="142"/>
              <w:jc w:val="right"/>
              <w:rPr>
                <w:i/>
                <w:lang w:val="en-US"/>
              </w:rPr>
            </w:pPr>
            <w:r>
              <w:rPr>
                <w:i/>
                <w:lang w:val="en-US"/>
              </w:rPr>
              <w:t>1</w:t>
            </w:r>
            <w:r>
              <w:rPr>
                <w:i/>
              </w:rPr>
              <w:t xml:space="preserve"> </w:t>
            </w:r>
            <w:r w:rsidR="005B2E5D">
              <w:rPr>
                <w:i/>
              </w:rPr>
              <w:t>388</w:t>
            </w:r>
          </w:p>
        </w:tc>
      </w:tr>
      <w:tr w:rsidR="00E0340B" w:rsidRPr="00C67CA3" w14:paraId="4043E63E" w14:textId="77777777" w:rsidTr="0050597D">
        <w:trPr>
          <w:trHeight w:val="205"/>
          <w:jc w:val="center"/>
        </w:trPr>
        <w:tc>
          <w:tcPr>
            <w:tcW w:w="4678" w:type="dxa"/>
          </w:tcPr>
          <w:p w14:paraId="57F349D4" w14:textId="77777777" w:rsidR="00E0340B" w:rsidRPr="00C67CA3" w:rsidRDefault="00E0340B" w:rsidP="00891C26">
            <w:pPr>
              <w:spacing w:line="276" w:lineRule="auto"/>
              <w:jc w:val="both"/>
            </w:pPr>
            <w:r w:rsidRPr="00C67CA3">
              <w:t>Разходи за персонала</w:t>
            </w:r>
          </w:p>
        </w:tc>
        <w:tc>
          <w:tcPr>
            <w:tcW w:w="1526" w:type="dxa"/>
          </w:tcPr>
          <w:p w14:paraId="2B6441FA" w14:textId="77777777" w:rsidR="00E0340B" w:rsidRPr="00C67CA3" w:rsidRDefault="005B2E5D" w:rsidP="00891C26">
            <w:pPr>
              <w:spacing w:line="276" w:lineRule="auto"/>
              <w:ind w:left="-216" w:right="142"/>
              <w:jc w:val="right"/>
            </w:pPr>
            <w:r>
              <w:rPr>
                <w:color w:val="000000"/>
              </w:rPr>
              <w:t>21</w:t>
            </w:r>
            <w:r w:rsidR="00A46BC1">
              <w:rPr>
                <w:color w:val="000000"/>
              </w:rPr>
              <w:t xml:space="preserve"> </w:t>
            </w:r>
            <w:r>
              <w:rPr>
                <w:color w:val="000000"/>
              </w:rPr>
              <w:t>447</w:t>
            </w:r>
          </w:p>
        </w:tc>
      </w:tr>
      <w:tr w:rsidR="00E0340B" w:rsidRPr="00C67CA3" w14:paraId="30F4E3D4" w14:textId="77777777" w:rsidTr="0050597D">
        <w:trPr>
          <w:jc w:val="center"/>
        </w:trPr>
        <w:tc>
          <w:tcPr>
            <w:tcW w:w="4678" w:type="dxa"/>
          </w:tcPr>
          <w:p w14:paraId="07E4AAE0" w14:textId="77777777" w:rsidR="00E0340B" w:rsidRPr="00C67CA3" w:rsidRDefault="00E0340B" w:rsidP="00891C26">
            <w:pPr>
              <w:spacing w:line="276" w:lineRule="auto"/>
              <w:jc w:val="both"/>
              <w:rPr>
                <w:color w:val="000000"/>
              </w:rPr>
            </w:pPr>
            <w:r w:rsidRPr="00C67CA3">
              <w:rPr>
                <w:color w:val="000000"/>
              </w:rPr>
              <w:t>Разходи за обезценка и провизии</w:t>
            </w:r>
            <w:r w:rsidR="00BA7EED" w:rsidRPr="00C67CA3">
              <w:rPr>
                <w:color w:val="000000"/>
              </w:rPr>
              <w:t xml:space="preserve"> </w:t>
            </w:r>
            <w:r w:rsidRPr="00C67CA3">
              <w:rPr>
                <w:color w:val="000000"/>
              </w:rPr>
              <w:t>- нетно</w:t>
            </w:r>
          </w:p>
        </w:tc>
        <w:tc>
          <w:tcPr>
            <w:tcW w:w="1526" w:type="dxa"/>
          </w:tcPr>
          <w:p w14:paraId="6A7BF863" w14:textId="77777777" w:rsidR="00E0340B" w:rsidRPr="00C67CA3" w:rsidRDefault="005B2E5D" w:rsidP="00891C26">
            <w:pPr>
              <w:spacing w:line="276" w:lineRule="auto"/>
              <w:ind w:left="-216" w:right="142"/>
              <w:jc w:val="right"/>
            </w:pPr>
            <w:r>
              <w:rPr>
                <w:color w:val="000000"/>
              </w:rPr>
              <w:t>1</w:t>
            </w:r>
            <w:r w:rsidR="00892DC6">
              <w:rPr>
                <w:color w:val="000000"/>
              </w:rPr>
              <w:t xml:space="preserve"> </w:t>
            </w:r>
            <w:r>
              <w:rPr>
                <w:color w:val="000000"/>
              </w:rPr>
              <w:t>949</w:t>
            </w:r>
          </w:p>
        </w:tc>
      </w:tr>
      <w:tr w:rsidR="00D97B76" w:rsidRPr="00C67CA3" w14:paraId="2F553E76" w14:textId="77777777" w:rsidTr="0050597D">
        <w:trPr>
          <w:jc w:val="center"/>
        </w:trPr>
        <w:tc>
          <w:tcPr>
            <w:tcW w:w="4678" w:type="dxa"/>
          </w:tcPr>
          <w:p w14:paraId="3DD50B24" w14:textId="77777777" w:rsidR="00E63433" w:rsidRPr="00C67CA3" w:rsidRDefault="00D97B76" w:rsidP="00891C26">
            <w:pPr>
              <w:spacing w:line="276" w:lineRule="auto"/>
              <w:jc w:val="both"/>
              <w:rPr>
                <w:color w:val="000000"/>
              </w:rPr>
            </w:pPr>
            <w:r w:rsidRPr="00C67CA3">
              <w:rPr>
                <w:color w:val="000000"/>
              </w:rPr>
              <w:t>Себестойност на продадени активи</w:t>
            </w:r>
          </w:p>
        </w:tc>
        <w:tc>
          <w:tcPr>
            <w:tcW w:w="1526" w:type="dxa"/>
          </w:tcPr>
          <w:p w14:paraId="311936BA" w14:textId="77777777" w:rsidR="00D97B76" w:rsidRPr="00C67CA3" w:rsidRDefault="005B2E5D" w:rsidP="00891C26">
            <w:pPr>
              <w:spacing w:line="276" w:lineRule="auto"/>
              <w:ind w:left="-216" w:right="142"/>
              <w:jc w:val="right"/>
              <w:rPr>
                <w:color w:val="000000"/>
              </w:rPr>
            </w:pPr>
            <w:r>
              <w:rPr>
                <w:color w:val="000000"/>
              </w:rPr>
              <w:t>8</w:t>
            </w:r>
            <w:r w:rsidR="00892DC6">
              <w:rPr>
                <w:color w:val="000000"/>
              </w:rPr>
              <w:t xml:space="preserve"> 8</w:t>
            </w:r>
            <w:r>
              <w:rPr>
                <w:color w:val="000000"/>
              </w:rPr>
              <w:t>16</w:t>
            </w:r>
          </w:p>
        </w:tc>
      </w:tr>
      <w:tr w:rsidR="00E0340B" w:rsidRPr="00C67CA3" w14:paraId="1C68A522" w14:textId="77777777" w:rsidTr="0050597D">
        <w:trPr>
          <w:jc w:val="center"/>
        </w:trPr>
        <w:tc>
          <w:tcPr>
            <w:tcW w:w="4678" w:type="dxa"/>
          </w:tcPr>
          <w:p w14:paraId="7449F3E1" w14:textId="77777777" w:rsidR="00E0340B" w:rsidRPr="00C67CA3" w:rsidRDefault="00E0340B" w:rsidP="00891C26">
            <w:pPr>
              <w:spacing w:line="276" w:lineRule="auto"/>
              <w:jc w:val="both"/>
              <w:rPr>
                <w:color w:val="000000"/>
              </w:rPr>
            </w:pPr>
            <w:r w:rsidRPr="00C67CA3">
              <w:rPr>
                <w:color w:val="000000"/>
              </w:rPr>
              <w:t>Други оперативни разходи</w:t>
            </w:r>
          </w:p>
        </w:tc>
        <w:tc>
          <w:tcPr>
            <w:tcW w:w="1526" w:type="dxa"/>
          </w:tcPr>
          <w:p w14:paraId="541DF5B9" w14:textId="77777777" w:rsidR="00E63433" w:rsidRPr="00C67CA3" w:rsidRDefault="005B2E5D" w:rsidP="00891C26">
            <w:pPr>
              <w:spacing w:line="276" w:lineRule="auto"/>
              <w:ind w:left="-216" w:right="142"/>
              <w:jc w:val="right"/>
            </w:pPr>
            <w:r>
              <w:rPr>
                <w:color w:val="000000"/>
              </w:rPr>
              <w:t>7 565</w:t>
            </w:r>
          </w:p>
        </w:tc>
      </w:tr>
      <w:tr w:rsidR="00E0340B" w:rsidRPr="00C67CA3" w14:paraId="1DBCEE25" w14:textId="77777777" w:rsidTr="0050597D">
        <w:trPr>
          <w:jc w:val="center"/>
        </w:trPr>
        <w:tc>
          <w:tcPr>
            <w:tcW w:w="4678" w:type="dxa"/>
          </w:tcPr>
          <w:p w14:paraId="7593C48B" w14:textId="77777777" w:rsidR="00A34D5E" w:rsidRPr="00C67CA3" w:rsidRDefault="00E0340B" w:rsidP="00891C26">
            <w:pPr>
              <w:spacing w:line="276" w:lineRule="auto"/>
              <w:jc w:val="both"/>
              <w:rPr>
                <w:color w:val="000000"/>
              </w:rPr>
            </w:pPr>
            <w:r w:rsidRPr="00C67CA3">
              <w:rPr>
                <w:color w:val="000000"/>
              </w:rPr>
              <w:t xml:space="preserve">Финансови </w:t>
            </w:r>
            <w:r w:rsidR="00EC40D6" w:rsidRPr="00C67CA3">
              <w:rPr>
                <w:color w:val="000000"/>
              </w:rPr>
              <w:t>р</w:t>
            </w:r>
            <w:r w:rsidR="00BE7FEC" w:rsidRPr="00C67CA3">
              <w:rPr>
                <w:color w:val="000000"/>
              </w:rPr>
              <w:t>азхо</w:t>
            </w:r>
            <w:r w:rsidR="00EC40D6" w:rsidRPr="00C67CA3">
              <w:rPr>
                <w:color w:val="000000"/>
              </w:rPr>
              <w:t xml:space="preserve">ди </w:t>
            </w:r>
          </w:p>
        </w:tc>
        <w:tc>
          <w:tcPr>
            <w:tcW w:w="1526" w:type="dxa"/>
          </w:tcPr>
          <w:p w14:paraId="40E7F55E" w14:textId="77777777" w:rsidR="00A34D5E" w:rsidRPr="00926261" w:rsidRDefault="005B2E5D" w:rsidP="00891C26">
            <w:pPr>
              <w:spacing w:line="276" w:lineRule="auto"/>
              <w:ind w:left="-216" w:right="142"/>
              <w:jc w:val="right"/>
              <w:rPr>
                <w:lang w:val="en-US"/>
              </w:rPr>
            </w:pPr>
            <w:r>
              <w:rPr>
                <w:color w:val="000000"/>
              </w:rPr>
              <w:t>1</w:t>
            </w:r>
            <w:r w:rsidR="00A46BC1">
              <w:rPr>
                <w:color w:val="000000"/>
              </w:rPr>
              <w:t xml:space="preserve"> </w:t>
            </w:r>
            <w:r>
              <w:rPr>
                <w:color w:val="000000"/>
              </w:rPr>
              <w:t>854</w:t>
            </w:r>
          </w:p>
        </w:tc>
      </w:tr>
      <w:tr w:rsidR="00E0340B" w:rsidRPr="00C67CA3" w14:paraId="0656B0EA" w14:textId="77777777" w:rsidTr="0050597D">
        <w:trPr>
          <w:jc w:val="center"/>
        </w:trPr>
        <w:tc>
          <w:tcPr>
            <w:tcW w:w="4678" w:type="dxa"/>
          </w:tcPr>
          <w:p w14:paraId="7408B07E" w14:textId="77777777" w:rsidR="00E0340B" w:rsidRPr="00C67CA3" w:rsidRDefault="00E0340B" w:rsidP="00891C26">
            <w:pPr>
              <w:spacing w:line="276" w:lineRule="auto"/>
              <w:jc w:val="both"/>
              <w:rPr>
                <w:b/>
                <w:color w:val="000000"/>
              </w:rPr>
            </w:pPr>
            <w:r w:rsidRPr="00C67CA3">
              <w:rPr>
                <w:b/>
                <w:color w:val="000000"/>
              </w:rPr>
              <w:t>Общо разходи</w:t>
            </w:r>
          </w:p>
        </w:tc>
        <w:tc>
          <w:tcPr>
            <w:tcW w:w="1526" w:type="dxa"/>
          </w:tcPr>
          <w:p w14:paraId="0C67D4AD" w14:textId="77777777" w:rsidR="00E63433" w:rsidRPr="00892DC6" w:rsidRDefault="005B2E5D" w:rsidP="00891C26">
            <w:pPr>
              <w:spacing w:line="276" w:lineRule="auto"/>
              <w:ind w:left="-216" w:right="142"/>
              <w:jc w:val="right"/>
              <w:rPr>
                <w:b/>
              </w:rPr>
            </w:pPr>
            <w:r>
              <w:rPr>
                <w:b/>
              </w:rPr>
              <w:t>74</w:t>
            </w:r>
            <w:r w:rsidR="00892DC6">
              <w:rPr>
                <w:b/>
              </w:rPr>
              <w:t xml:space="preserve"> </w:t>
            </w:r>
            <w:r>
              <w:rPr>
                <w:b/>
              </w:rPr>
              <w:t>399</w:t>
            </w:r>
          </w:p>
        </w:tc>
      </w:tr>
    </w:tbl>
    <w:p w14:paraId="5E4F56AC" w14:textId="77777777" w:rsidR="00A211C4" w:rsidRPr="00C67CA3" w:rsidRDefault="00A211C4" w:rsidP="00891C26">
      <w:pPr>
        <w:spacing w:line="276" w:lineRule="auto"/>
        <w:ind w:firstLine="567"/>
        <w:jc w:val="both"/>
        <w:rPr>
          <w:bCs/>
          <w:noProof/>
        </w:rPr>
      </w:pPr>
    </w:p>
    <w:p w14:paraId="24BCEB4A" w14:textId="77777777" w:rsidR="000B3C44" w:rsidRPr="00C67CA3" w:rsidRDefault="003405B0" w:rsidP="00891C26">
      <w:pPr>
        <w:spacing w:line="276" w:lineRule="auto"/>
        <w:jc w:val="center"/>
        <w:rPr>
          <w:bCs/>
        </w:rPr>
      </w:pPr>
      <w:r>
        <w:rPr>
          <w:noProof/>
        </w:rPr>
        <w:drawing>
          <wp:inline distT="0" distB="0" distL="0" distR="0" wp14:anchorId="443B7B00" wp14:editId="46345B6A">
            <wp:extent cx="5693410" cy="3027871"/>
            <wp:effectExtent l="0" t="0" r="2540" b="1270"/>
            <wp:docPr id="4"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9B3173" w14:textId="77777777" w:rsidR="00364812" w:rsidRPr="00C67CA3" w:rsidRDefault="00364812" w:rsidP="00891C26">
      <w:pPr>
        <w:spacing w:line="276" w:lineRule="auto"/>
        <w:ind w:firstLine="567"/>
        <w:jc w:val="both"/>
        <w:rPr>
          <w:bCs/>
        </w:rPr>
      </w:pPr>
    </w:p>
    <w:p w14:paraId="22C4F221" w14:textId="6D78EFEF" w:rsidR="009F4EFF" w:rsidRPr="00D33B99" w:rsidRDefault="009F4EFF" w:rsidP="00891C26">
      <w:pPr>
        <w:pStyle w:val="BodyText"/>
        <w:spacing w:line="276" w:lineRule="auto"/>
        <w:ind w:firstLine="851"/>
        <w:jc w:val="both"/>
      </w:pPr>
      <w:r w:rsidRPr="00C67CA3">
        <w:t xml:space="preserve">Разходите за материали </w:t>
      </w:r>
      <w:r w:rsidR="0066299D" w:rsidRPr="00C67CA3">
        <w:t xml:space="preserve">включват </w:t>
      </w:r>
      <w:r w:rsidRPr="00C67CA3">
        <w:t>разход</w:t>
      </w:r>
      <w:r w:rsidR="0062295A" w:rsidRPr="00C67CA3">
        <w:t xml:space="preserve">и за електроенергия, химикали, </w:t>
      </w:r>
      <w:r w:rsidRPr="00C67CA3">
        <w:t xml:space="preserve">резервни части и др. Разходите за електроенергия </w:t>
      </w:r>
      <w:r w:rsidR="0062295A" w:rsidRPr="00C67CA3">
        <w:t>формират</w:t>
      </w:r>
      <w:r w:rsidRPr="00C67CA3">
        <w:t xml:space="preserve"> основния дял от разходите за материали. През </w:t>
      </w:r>
      <w:r w:rsidR="0078422E" w:rsidRPr="00C67CA3">
        <w:t>201</w:t>
      </w:r>
      <w:r w:rsidR="005B2E5D">
        <w:t>9</w:t>
      </w:r>
      <w:r w:rsidR="00A46BC1">
        <w:t xml:space="preserve"> </w:t>
      </w:r>
      <w:r w:rsidR="0078422E" w:rsidRPr="00C67CA3">
        <w:t>г</w:t>
      </w:r>
      <w:r w:rsidR="005E615D" w:rsidRPr="00C67CA3">
        <w:t>.</w:t>
      </w:r>
      <w:r w:rsidR="0062295A" w:rsidRPr="00C67CA3">
        <w:t xml:space="preserve"> </w:t>
      </w:r>
      <w:r w:rsidRPr="00C67CA3">
        <w:t xml:space="preserve">разходите за електроенергия са  </w:t>
      </w:r>
      <w:r w:rsidR="000E7EF0">
        <w:t>4</w:t>
      </w:r>
      <w:r w:rsidR="000A70B3">
        <w:t>5</w:t>
      </w:r>
      <w:r w:rsidR="000E7EF0">
        <w:t>,</w:t>
      </w:r>
      <w:r w:rsidR="000A70B3">
        <w:t>36</w:t>
      </w:r>
      <w:r w:rsidR="0062295A" w:rsidRPr="00C67CA3">
        <w:t>% от разходите на материали</w:t>
      </w:r>
      <w:r w:rsidR="008760BB" w:rsidRPr="00C67CA3">
        <w:t xml:space="preserve"> – </w:t>
      </w:r>
      <w:r w:rsidR="000E7EF0">
        <w:t>6</w:t>
      </w:r>
      <w:r w:rsidR="00C5372F">
        <w:rPr>
          <w:lang w:val="en-US"/>
        </w:rPr>
        <w:t xml:space="preserve"> </w:t>
      </w:r>
      <w:r w:rsidR="000A70B3">
        <w:t>738</w:t>
      </w:r>
      <w:r w:rsidR="00B21C50" w:rsidRPr="00C67CA3">
        <w:t xml:space="preserve"> </w:t>
      </w:r>
      <w:r w:rsidRPr="00C67CA3">
        <w:t>х</w:t>
      </w:r>
      <w:r w:rsidR="00093CAE" w:rsidRPr="00C67CA3">
        <w:t>ил</w:t>
      </w:r>
      <w:r w:rsidRPr="00C67CA3">
        <w:t>.</w:t>
      </w:r>
      <w:r w:rsidR="00093CAE" w:rsidRPr="00C67CA3">
        <w:t xml:space="preserve"> </w:t>
      </w:r>
      <w:r w:rsidRPr="00C67CA3">
        <w:t>лв.,</w:t>
      </w:r>
      <w:r w:rsidR="00093CAE" w:rsidRPr="00C67CA3">
        <w:t xml:space="preserve"> </w:t>
      </w:r>
      <w:r w:rsidR="008746EE" w:rsidRPr="00C67CA3">
        <w:t xml:space="preserve">други </w:t>
      </w:r>
      <w:r w:rsidR="000A70B3">
        <w:t>43</w:t>
      </w:r>
      <w:r w:rsidR="000E7EF0">
        <w:t>,</w:t>
      </w:r>
      <w:r w:rsidR="000A70B3">
        <w:t>91</w:t>
      </w:r>
      <w:r w:rsidR="002A67C6">
        <w:t>%</w:t>
      </w:r>
      <w:r w:rsidR="0062295A" w:rsidRPr="00C67CA3">
        <w:t xml:space="preserve"> от общата сума на </w:t>
      </w:r>
      <w:r w:rsidR="0062295A" w:rsidRPr="004E1CAD">
        <w:rPr>
          <w:bCs/>
        </w:rPr>
        <w:t>разходите</w:t>
      </w:r>
      <w:r w:rsidR="0062295A" w:rsidRPr="00C67CA3">
        <w:t xml:space="preserve"> за материали</w:t>
      </w:r>
      <w:r w:rsidR="008760BB" w:rsidRPr="00C67CA3">
        <w:t xml:space="preserve"> –</w:t>
      </w:r>
      <w:r w:rsidR="00065CEE" w:rsidRPr="00C67CA3">
        <w:t xml:space="preserve"> </w:t>
      </w:r>
      <w:r w:rsidR="000A70B3">
        <w:t>6</w:t>
      </w:r>
      <w:r w:rsidR="00C5372F">
        <w:rPr>
          <w:lang w:val="en-US"/>
        </w:rPr>
        <w:t xml:space="preserve"> </w:t>
      </w:r>
      <w:r w:rsidR="000A70B3">
        <w:t>523</w:t>
      </w:r>
      <w:r w:rsidR="00B21C50" w:rsidRPr="00C67CA3">
        <w:t xml:space="preserve"> </w:t>
      </w:r>
      <w:r w:rsidR="0062295A" w:rsidRPr="00C67CA3">
        <w:t>хил.</w:t>
      </w:r>
      <w:r w:rsidR="008760BB" w:rsidRPr="00C67CA3">
        <w:t xml:space="preserve"> </w:t>
      </w:r>
      <w:r w:rsidR="0062295A" w:rsidRPr="00C67CA3">
        <w:t>лв</w:t>
      </w:r>
      <w:r w:rsidR="00F2186A">
        <w:t>.</w:t>
      </w:r>
      <w:r w:rsidR="00F2186A">
        <w:rPr>
          <w:lang w:val="en-US"/>
        </w:rPr>
        <w:t xml:space="preserve"> </w:t>
      </w:r>
      <w:r w:rsidR="008760BB" w:rsidRPr="00C67CA3">
        <w:t>–</w:t>
      </w:r>
      <w:r w:rsidR="008746EE" w:rsidRPr="00C67CA3">
        <w:t xml:space="preserve"> са </w:t>
      </w:r>
      <w:r w:rsidRPr="00C67CA3">
        <w:t xml:space="preserve">разходите за вложени материали в поддръжката на съоръженията, </w:t>
      </w:r>
      <w:r w:rsidRPr="00D33B99">
        <w:t>останал</w:t>
      </w:r>
      <w:r w:rsidR="0062295A" w:rsidRPr="00D33B99">
        <w:t xml:space="preserve">ите </w:t>
      </w:r>
      <w:r w:rsidR="00A46BC1">
        <w:t>1</w:t>
      </w:r>
      <w:r w:rsidR="00C5372F">
        <w:rPr>
          <w:lang w:val="en-US"/>
        </w:rPr>
        <w:t xml:space="preserve"> </w:t>
      </w:r>
      <w:r w:rsidR="000E7EF0">
        <w:t>5</w:t>
      </w:r>
      <w:r w:rsidR="000A70B3">
        <w:t>92</w:t>
      </w:r>
      <w:r w:rsidR="00DA7939" w:rsidRPr="00D33B99">
        <w:t xml:space="preserve"> хил.</w:t>
      </w:r>
      <w:r w:rsidR="00C5372F">
        <w:rPr>
          <w:lang w:val="en-US"/>
        </w:rPr>
        <w:t xml:space="preserve"> </w:t>
      </w:r>
      <w:r w:rsidR="00DA7939" w:rsidRPr="00D33B99">
        <w:t xml:space="preserve">лв. или </w:t>
      </w:r>
      <w:r w:rsidR="001F2FDD" w:rsidRPr="00D33B99">
        <w:t>1</w:t>
      </w:r>
      <w:r w:rsidR="000A70B3">
        <w:t>0</w:t>
      </w:r>
      <w:r w:rsidR="000E7EF0">
        <w:t>,</w:t>
      </w:r>
      <w:r w:rsidR="000A70B3">
        <w:t>73</w:t>
      </w:r>
      <w:r w:rsidR="0062295A" w:rsidRPr="00D33B99">
        <w:t>%</w:t>
      </w:r>
      <w:r w:rsidRPr="00D33B99">
        <w:t xml:space="preserve"> са изразходваните средства за горива,</w:t>
      </w:r>
      <w:r w:rsidR="00093CAE" w:rsidRPr="00D33B99">
        <w:t xml:space="preserve"> </w:t>
      </w:r>
      <w:r w:rsidRPr="00D33B99">
        <w:t>реагенти</w:t>
      </w:r>
      <w:r w:rsidR="00F76A32" w:rsidRPr="00D33B99">
        <w:t xml:space="preserve"> за пречистване на водата и др.</w:t>
      </w:r>
    </w:p>
    <w:p w14:paraId="78899E72" w14:textId="5399A899" w:rsidR="00A872A7" w:rsidRPr="00C67CA3" w:rsidRDefault="009F4EFF" w:rsidP="00891C26">
      <w:pPr>
        <w:pStyle w:val="BodyText"/>
        <w:spacing w:line="276" w:lineRule="auto"/>
        <w:ind w:firstLine="851"/>
        <w:jc w:val="both"/>
      </w:pPr>
      <w:r w:rsidRPr="00C67CA3">
        <w:t xml:space="preserve">Основен </w:t>
      </w:r>
      <w:r w:rsidRPr="004E1CAD">
        <w:rPr>
          <w:bCs/>
        </w:rPr>
        <w:t>елемент</w:t>
      </w:r>
      <w:r w:rsidRPr="00C67CA3">
        <w:t xml:space="preserve"> от разходите за външни услуги </w:t>
      </w:r>
      <w:r w:rsidR="00953DAA" w:rsidRPr="00C67CA3">
        <w:t>са</w:t>
      </w:r>
      <w:r w:rsidRPr="00C67CA3">
        <w:t xml:space="preserve"> разход</w:t>
      </w:r>
      <w:r w:rsidR="00953DAA" w:rsidRPr="00C67CA3">
        <w:t>ите</w:t>
      </w:r>
      <w:r w:rsidRPr="00C67CA3">
        <w:t xml:space="preserve"> за ремонт и поддръжка </w:t>
      </w:r>
      <w:r w:rsidR="00A46BC1">
        <w:t>на собствени активи</w:t>
      </w:r>
      <w:r w:rsidRPr="00C67CA3">
        <w:t xml:space="preserve">– </w:t>
      </w:r>
      <w:r w:rsidR="000A70B3">
        <w:t>1</w:t>
      </w:r>
      <w:r w:rsidR="002A67C6">
        <w:t xml:space="preserve"> </w:t>
      </w:r>
      <w:r w:rsidR="000A70B3">
        <w:t>388</w:t>
      </w:r>
      <w:r w:rsidRPr="00C67CA3">
        <w:t xml:space="preserve"> хил.</w:t>
      </w:r>
      <w:r w:rsidR="008760BB" w:rsidRPr="00C67CA3">
        <w:t xml:space="preserve"> </w:t>
      </w:r>
      <w:r w:rsidRPr="00C67CA3">
        <w:t>лв</w:t>
      </w:r>
      <w:r w:rsidR="008760BB" w:rsidRPr="00C67CA3">
        <w:t>.</w:t>
      </w:r>
      <w:r w:rsidRPr="00C67CA3">
        <w:t>,</w:t>
      </w:r>
      <w:r w:rsidR="00B468D2">
        <w:t xml:space="preserve"> </w:t>
      </w:r>
      <w:r w:rsidR="00B468D2" w:rsidRPr="00B468D2">
        <w:t>разходи за реконструкция, модернизация и подмяна на съществена част от ползвани ВиК активи, съгласно договор с Асоциация по ВиК</w:t>
      </w:r>
      <w:r w:rsidRPr="00C67CA3">
        <w:t xml:space="preserve"> </w:t>
      </w:r>
      <w:r w:rsidR="00F2186A">
        <w:t>–</w:t>
      </w:r>
      <w:r w:rsidR="00A46BC1">
        <w:t xml:space="preserve"> </w:t>
      </w:r>
      <w:r w:rsidR="000A70B3">
        <w:t>5</w:t>
      </w:r>
      <w:r w:rsidR="00F2186A">
        <w:t xml:space="preserve"> </w:t>
      </w:r>
      <w:r w:rsidR="000A70B3">
        <w:t>586</w:t>
      </w:r>
      <w:r w:rsidR="00B468D2">
        <w:t xml:space="preserve"> хил.</w:t>
      </w:r>
      <w:r w:rsidR="00F2186A">
        <w:t xml:space="preserve"> </w:t>
      </w:r>
      <w:r w:rsidR="00B468D2">
        <w:t>лв.,</w:t>
      </w:r>
      <w:r w:rsidR="00874CAF">
        <w:t xml:space="preserve"> </w:t>
      </w:r>
      <w:r w:rsidRPr="00C67CA3">
        <w:t xml:space="preserve">таксата водоползване, платима на държавата за правото </w:t>
      </w:r>
      <w:r w:rsidR="00953DAA" w:rsidRPr="00C67CA3">
        <w:t>върху</w:t>
      </w:r>
      <w:r w:rsidRPr="00C67CA3">
        <w:t xml:space="preserve"> водните ресурси</w:t>
      </w:r>
      <w:r w:rsidR="004755F3" w:rsidRPr="00C67CA3">
        <w:t xml:space="preserve"> </w:t>
      </w:r>
      <w:r w:rsidRPr="00C67CA3">
        <w:t xml:space="preserve">– </w:t>
      </w:r>
      <w:r w:rsidR="00A46BC1">
        <w:t>1</w:t>
      </w:r>
      <w:r w:rsidR="00F2186A">
        <w:t xml:space="preserve"> </w:t>
      </w:r>
      <w:r w:rsidR="000E7EF0">
        <w:t>4</w:t>
      </w:r>
      <w:r w:rsidR="000A70B3">
        <w:t>38</w:t>
      </w:r>
      <w:r w:rsidR="00E77B73" w:rsidRPr="00C67CA3">
        <w:t xml:space="preserve"> </w:t>
      </w:r>
      <w:r w:rsidRPr="00C67CA3">
        <w:t>хил. лв., както и такси</w:t>
      </w:r>
      <w:r w:rsidR="00953DAA" w:rsidRPr="00C67CA3">
        <w:t>,</w:t>
      </w:r>
      <w:r w:rsidRPr="00C67CA3">
        <w:t xml:space="preserve"> дължими на КЕВР </w:t>
      </w:r>
      <w:r w:rsidR="008760BB" w:rsidRPr="00C67CA3">
        <w:t xml:space="preserve">– </w:t>
      </w:r>
      <w:r w:rsidR="004755F3" w:rsidRPr="00C67CA3">
        <w:t>14</w:t>
      </w:r>
      <w:r w:rsidR="000A70B3">
        <w:t>3</w:t>
      </w:r>
      <w:r w:rsidR="004755F3" w:rsidRPr="00C67CA3">
        <w:t xml:space="preserve"> </w:t>
      </w:r>
      <w:r w:rsidRPr="00C67CA3">
        <w:t>х</w:t>
      </w:r>
      <w:r w:rsidR="00093CAE" w:rsidRPr="00C67CA3">
        <w:t>ил</w:t>
      </w:r>
      <w:r w:rsidRPr="00C67CA3">
        <w:t>.</w:t>
      </w:r>
      <w:r w:rsidR="00093CAE" w:rsidRPr="00C67CA3">
        <w:t xml:space="preserve"> </w:t>
      </w:r>
      <w:r w:rsidR="00953DAA" w:rsidRPr="00C67CA3">
        <w:t>лв.</w:t>
      </w:r>
    </w:p>
    <w:p w14:paraId="52908009" w14:textId="77777777" w:rsidR="009F4EFF" w:rsidRPr="00C67CA3" w:rsidRDefault="009F4EFF" w:rsidP="00891C26">
      <w:pPr>
        <w:pStyle w:val="BodyText"/>
        <w:spacing w:line="276" w:lineRule="auto"/>
        <w:ind w:firstLine="851"/>
        <w:jc w:val="both"/>
      </w:pPr>
      <w:r w:rsidRPr="00C67CA3">
        <w:lastRenderedPageBreak/>
        <w:t xml:space="preserve">Около </w:t>
      </w:r>
      <w:r w:rsidR="000E7EF0">
        <w:t>28</w:t>
      </w:r>
      <w:r w:rsidR="0012247A">
        <w:t>,</w:t>
      </w:r>
      <w:r w:rsidR="000A70B3">
        <w:t>8</w:t>
      </w:r>
      <w:r w:rsidR="004755F3" w:rsidRPr="00C67CA3">
        <w:t xml:space="preserve"> </w:t>
      </w:r>
      <w:r w:rsidRPr="00C67CA3">
        <w:t xml:space="preserve">% от общите разходи </w:t>
      </w:r>
      <w:r w:rsidR="00E03ABF" w:rsidRPr="00C67CA3">
        <w:t xml:space="preserve">е делът </w:t>
      </w:r>
      <w:r w:rsidRPr="00C67CA3">
        <w:t xml:space="preserve">на разходите за </w:t>
      </w:r>
      <w:r w:rsidR="00A872A7" w:rsidRPr="00C67CA3">
        <w:t>персонал</w:t>
      </w:r>
      <w:r w:rsidRPr="00C67CA3">
        <w:t xml:space="preserve">. Те включват заплати </w:t>
      </w:r>
      <w:r w:rsidRPr="004E1CAD">
        <w:rPr>
          <w:bCs/>
        </w:rPr>
        <w:t>на</w:t>
      </w:r>
      <w:r w:rsidRPr="00C67CA3">
        <w:t xml:space="preserve"> служителите, осигуровки и социални придо</w:t>
      </w:r>
      <w:r w:rsidR="004307C7" w:rsidRPr="00C67CA3">
        <w:t>бивки</w:t>
      </w:r>
      <w:r w:rsidR="00B4099C" w:rsidRPr="00C67CA3">
        <w:t>,</w:t>
      </w:r>
      <w:r w:rsidR="004307C7" w:rsidRPr="00C67CA3">
        <w:t xml:space="preserve"> изплащани от </w:t>
      </w:r>
      <w:r w:rsidR="00B4099C" w:rsidRPr="00C67CA3">
        <w:t>Д</w:t>
      </w:r>
      <w:r w:rsidR="004307C7" w:rsidRPr="00C67CA3">
        <w:t>ружеството.</w:t>
      </w:r>
    </w:p>
    <w:p w14:paraId="0C8CC698" w14:textId="77777777" w:rsidR="004E1CAD" w:rsidRDefault="009F4EFF" w:rsidP="00891C26">
      <w:pPr>
        <w:pStyle w:val="BodyText"/>
        <w:spacing w:line="276" w:lineRule="auto"/>
        <w:ind w:firstLine="851"/>
        <w:jc w:val="both"/>
      </w:pPr>
      <w:r w:rsidRPr="00C67CA3">
        <w:t xml:space="preserve">Амортизациите са начислени съгласно счетоводната политика на </w:t>
      </w:r>
      <w:r w:rsidR="00B4099C" w:rsidRPr="00C67CA3">
        <w:t>Д</w:t>
      </w:r>
      <w:r w:rsidRPr="00C67CA3">
        <w:t xml:space="preserve">ружеството. През </w:t>
      </w:r>
      <w:r w:rsidR="00705FD0" w:rsidRPr="00C67CA3">
        <w:t>201</w:t>
      </w:r>
      <w:r w:rsidR="000A70B3">
        <w:t>9</w:t>
      </w:r>
      <w:r w:rsidR="004755F3" w:rsidRPr="00C67CA3">
        <w:t xml:space="preserve"> </w:t>
      </w:r>
      <w:r w:rsidRPr="00C67CA3">
        <w:t xml:space="preserve">г. не е извършвана </w:t>
      </w:r>
      <w:r w:rsidR="004755F3" w:rsidRPr="00C67CA3">
        <w:t xml:space="preserve">обезценка </w:t>
      </w:r>
      <w:r w:rsidRPr="00C67CA3">
        <w:t xml:space="preserve">на дълготрайните </w:t>
      </w:r>
      <w:r w:rsidR="004755F3" w:rsidRPr="00C67CA3">
        <w:t xml:space="preserve">материални и нематериални </w:t>
      </w:r>
      <w:r w:rsidRPr="00C67CA3">
        <w:t>активи.</w:t>
      </w:r>
    </w:p>
    <w:p w14:paraId="3DF0656E" w14:textId="77777777" w:rsidR="005543D1" w:rsidRPr="00C67CA3" w:rsidRDefault="005543D1" w:rsidP="00891C26">
      <w:pPr>
        <w:pStyle w:val="ListParagraph"/>
        <w:widowControl/>
        <w:numPr>
          <w:ilvl w:val="1"/>
          <w:numId w:val="30"/>
        </w:numPr>
        <w:tabs>
          <w:tab w:val="left" w:pos="1134"/>
        </w:tabs>
        <w:autoSpaceDE/>
        <w:autoSpaceDN/>
        <w:adjustRightInd/>
        <w:spacing w:before="240" w:after="240" w:line="276" w:lineRule="auto"/>
        <w:ind w:left="1134" w:hanging="283"/>
        <w:jc w:val="both"/>
        <w:rPr>
          <w:b/>
          <w:bCs/>
        </w:rPr>
      </w:pPr>
      <w:r w:rsidRPr="00C67CA3">
        <w:rPr>
          <w:b/>
          <w:bCs/>
        </w:rPr>
        <w:t>Важни събития настъпили след датата, към която е съставен годишният финансов отчет</w:t>
      </w:r>
    </w:p>
    <w:p w14:paraId="422BEF39" w14:textId="2045204C" w:rsidR="00F032C5" w:rsidRDefault="00F032C5" w:rsidP="00891C26">
      <w:pPr>
        <w:pStyle w:val="BodyText"/>
        <w:spacing w:line="276" w:lineRule="auto"/>
        <w:ind w:firstLine="851"/>
        <w:jc w:val="both"/>
      </w:pPr>
      <w:r w:rsidRPr="00F032C5">
        <w:t>Към датата на приемане на отчета Ръководството на Дружеството е запознато с нарастващия брой на случаите на заболяване с коронавирус (COVID-19), причинен от остър респираторен синдром коронавирус-2 (SARS-CoV-2). Към датата на приемане на финансовия отчет Ръководството оценява, че разпространението на COVID-19 няма съществен ефект върху дейността на Дружеството. Въпреки това, към датата на приемане на настоящия финансов отчет Ръководството не е в състояние да оцени бъдещия ефект, който COVID-19 би имал върху дейността и резултатите на дружеството, поради краткия период от време между регистрирането на първия случай на територията на Р. България и датата на приемане на финансовия отчет.</w:t>
      </w:r>
    </w:p>
    <w:p w14:paraId="4A700FDE" w14:textId="5BE13243" w:rsidR="005543D1" w:rsidRDefault="00F032C5" w:rsidP="00891C26">
      <w:pPr>
        <w:pStyle w:val="BodyText"/>
        <w:spacing w:line="276" w:lineRule="auto"/>
        <w:ind w:firstLine="851"/>
        <w:jc w:val="both"/>
      </w:pPr>
      <w:r w:rsidRPr="00F032C5">
        <w:t xml:space="preserve">Извън посоченото по-горе </w:t>
      </w:r>
      <w:r>
        <w:t>н</w:t>
      </w:r>
      <w:r w:rsidR="005543D1" w:rsidRPr="00C67CA3">
        <w:t xml:space="preserve">яма </w:t>
      </w:r>
      <w:r>
        <w:t xml:space="preserve">други </w:t>
      </w:r>
      <w:r w:rsidR="005543D1" w:rsidRPr="00C67CA3">
        <w:t>съществени събития, настъпили след съставяне на годишния финансов отчет.</w:t>
      </w:r>
    </w:p>
    <w:p w14:paraId="300A499A" w14:textId="77777777" w:rsidR="00835A5A" w:rsidRPr="00FE7813" w:rsidRDefault="00CF0518" w:rsidP="00891C26">
      <w:pPr>
        <w:pStyle w:val="ListParagraph"/>
        <w:widowControl/>
        <w:numPr>
          <w:ilvl w:val="0"/>
          <w:numId w:val="30"/>
        </w:numPr>
        <w:tabs>
          <w:tab w:val="left" w:pos="851"/>
        </w:tabs>
        <w:autoSpaceDE/>
        <w:autoSpaceDN/>
        <w:adjustRightInd/>
        <w:spacing w:before="240" w:after="240" w:line="276" w:lineRule="auto"/>
        <w:ind w:left="851" w:hanging="284"/>
        <w:jc w:val="both"/>
        <w:rPr>
          <w:b/>
          <w:bCs/>
          <w:spacing w:val="-1"/>
        </w:rPr>
      </w:pPr>
      <w:r w:rsidRPr="00FE7813">
        <w:rPr>
          <w:b/>
          <w:bCs/>
          <w:spacing w:val="-1"/>
        </w:rPr>
        <w:t xml:space="preserve">Предвиждано </w:t>
      </w:r>
      <w:r w:rsidR="00B4099C" w:rsidRPr="00FE7813">
        <w:rPr>
          <w:b/>
          <w:bCs/>
          <w:spacing w:val="-1"/>
        </w:rPr>
        <w:t>развитие на Дружеството</w:t>
      </w:r>
    </w:p>
    <w:p w14:paraId="15B66E24" w14:textId="77777777" w:rsidR="008F142C" w:rsidRPr="00C67CA3" w:rsidRDefault="009F4EFF" w:rsidP="00891C26">
      <w:pPr>
        <w:pStyle w:val="BodyText"/>
        <w:spacing w:line="276" w:lineRule="auto"/>
        <w:ind w:firstLine="851"/>
        <w:jc w:val="both"/>
      </w:pPr>
      <w:r w:rsidRPr="00C67CA3">
        <w:t>Бъдещ</w:t>
      </w:r>
      <w:r w:rsidR="004F6C8C" w:rsidRPr="00C67CA3">
        <w:t>о</w:t>
      </w:r>
      <w:r w:rsidRPr="00C67CA3">
        <w:t xml:space="preserve">то развитие на </w:t>
      </w:r>
      <w:r w:rsidR="004F6C8C" w:rsidRPr="00C67CA3">
        <w:t>Д</w:t>
      </w:r>
      <w:r w:rsidRPr="00C67CA3">
        <w:t>ружеството е свързано със запазване на дейността по непрекъснато водоснабдяване на населението и фирмите в Бургаска област, запазване и повишаване качеството на доставяната питейна вода и отвеждането и пречистване</w:t>
      </w:r>
      <w:r w:rsidR="004F6C8C" w:rsidRPr="00C67CA3">
        <w:t>то</w:t>
      </w:r>
      <w:r w:rsidRPr="00C67CA3">
        <w:t xml:space="preserve"> на отпадните води, в съответствие</w:t>
      </w:r>
      <w:r w:rsidR="00093CAE" w:rsidRPr="00C67CA3">
        <w:t xml:space="preserve"> с действащите екологични норми</w:t>
      </w:r>
      <w:r w:rsidRPr="00C67CA3">
        <w:t>, при запазване на социално поносима</w:t>
      </w:r>
      <w:r w:rsidR="004F6C8C" w:rsidRPr="00C67CA3">
        <w:t xml:space="preserve"> цена на предоставената услуга.</w:t>
      </w:r>
    </w:p>
    <w:p w14:paraId="12AC22B6" w14:textId="77777777" w:rsidR="009A260D" w:rsidRPr="00C67CA3" w:rsidRDefault="000F77FA" w:rsidP="00891C26">
      <w:pPr>
        <w:pStyle w:val="BodyText"/>
        <w:spacing w:line="276" w:lineRule="auto"/>
        <w:ind w:firstLine="851"/>
        <w:jc w:val="both"/>
      </w:pPr>
      <w:r w:rsidRPr="00C67CA3">
        <w:t>Бъдещото развитие на Дружеството трябва да осигури доставката и разумното потребление на водните ресурси, в съчетание на индивидуалния и обществен интерес, без да се свива потреблението, но и да дава възможности за модерно развитие, поддържане и разширяване на каналната мрежа за отвеждане на всички отпадни и дъждовни води до специални зауствания и пречиствателни станции за отпадни води; изграждане на пречиствателни станции за отпадни води във всички курортни селища по Черноморското крайбрежие, с цел опазване чистотата на морето и в населените места с население над 10 000 души.</w:t>
      </w:r>
    </w:p>
    <w:p w14:paraId="70BC6C77" w14:textId="77777777" w:rsidR="00B74FCF" w:rsidRPr="00C101D7" w:rsidRDefault="009F4EFF" w:rsidP="00891C26">
      <w:pPr>
        <w:pStyle w:val="BodyText"/>
        <w:spacing w:line="276" w:lineRule="auto"/>
        <w:ind w:firstLine="851"/>
        <w:jc w:val="both"/>
        <w:rPr>
          <w:lang w:val="en-US"/>
        </w:rPr>
      </w:pPr>
      <w:r w:rsidRPr="00C67CA3">
        <w:t xml:space="preserve">Намеренията на </w:t>
      </w:r>
      <w:r w:rsidR="004F6C8C" w:rsidRPr="00C67CA3">
        <w:t>Д</w:t>
      </w:r>
      <w:r w:rsidRPr="00C67CA3">
        <w:t xml:space="preserve">ружеството за бъдещото развитие </w:t>
      </w:r>
      <w:r w:rsidR="009A260D" w:rsidRPr="00C67CA3">
        <w:t>са</w:t>
      </w:r>
      <w:r w:rsidR="003F7289" w:rsidRPr="00C67CA3">
        <w:t xml:space="preserve"> </w:t>
      </w:r>
      <w:r w:rsidRPr="00C67CA3">
        <w:t xml:space="preserve">изложени в </w:t>
      </w:r>
      <w:r w:rsidR="00CB286A">
        <w:t xml:space="preserve"> одобрения</w:t>
      </w:r>
      <w:r w:rsidR="009A260D" w:rsidRPr="00C67CA3">
        <w:t xml:space="preserve"> от КЕВР </w:t>
      </w:r>
      <w:r w:rsidRPr="00C67CA3">
        <w:t>бизнес</w:t>
      </w:r>
      <w:r w:rsidR="004F6C8C" w:rsidRPr="00C67CA3">
        <w:t>-</w:t>
      </w:r>
      <w:r w:rsidRPr="00C67CA3">
        <w:t xml:space="preserve">план за периода </w:t>
      </w:r>
      <w:r w:rsidR="009A260D" w:rsidRPr="00C67CA3">
        <w:t xml:space="preserve">2017 </w:t>
      </w:r>
      <w:r w:rsidR="008760BB" w:rsidRPr="00C67CA3">
        <w:t xml:space="preserve">– </w:t>
      </w:r>
      <w:r w:rsidR="009A260D" w:rsidRPr="00C67CA3">
        <w:t xml:space="preserve">2021 </w:t>
      </w:r>
      <w:r w:rsidRPr="00C67CA3">
        <w:t>г</w:t>
      </w:r>
      <w:r w:rsidR="00B74FCF" w:rsidRPr="00C67CA3">
        <w:t>.</w:t>
      </w:r>
    </w:p>
    <w:p w14:paraId="3D22BB11" w14:textId="77777777" w:rsidR="00E71AE8" w:rsidRPr="00C67CA3" w:rsidRDefault="00B30440" w:rsidP="00891C26">
      <w:pPr>
        <w:pStyle w:val="ListParagraph"/>
        <w:widowControl/>
        <w:numPr>
          <w:ilvl w:val="0"/>
          <w:numId w:val="30"/>
        </w:numPr>
        <w:tabs>
          <w:tab w:val="left" w:pos="851"/>
        </w:tabs>
        <w:autoSpaceDE/>
        <w:autoSpaceDN/>
        <w:adjustRightInd/>
        <w:spacing w:before="240" w:after="240" w:line="276" w:lineRule="auto"/>
        <w:ind w:left="851" w:hanging="284"/>
        <w:jc w:val="both"/>
        <w:rPr>
          <w:b/>
        </w:rPr>
      </w:pPr>
      <w:r w:rsidRPr="00C67CA3">
        <w:rPr>
          <w:b/>
        </w:rPr>
        <w:t>Действията в областта на научноизследователската и развойната дейност</w:t>
      </w:r>
    </w:p>
    <w:p w14:paraId="786F60A0" w14:textId="77777777" w:rsidR="00B30440" w:rsidRPr="00C67CA3" w:rsidRDefault="00B30440" w:rsidP="00891C26">
      <w:pPr>
        <w:pStyle w:val="BodyText"/>
        <w:spacing w:line="276" w:lineRule="auto"/>
        <w:ind w:firstLine="851"/>
        <w:jc w:val="both"/>
      </w:pPr>
      <w:r w:rsidRPr="00C67CA3">
        <w:t>През 201</w:t>
      </w:r>
      <w:r w:rsidR="000A70B3">
        <w:t>9</w:t>
      </w:r>
      <w:r w:rsidRPr="00C67CA3">
        <w:t xml:space="preserve"> г. „Водоснабдяване и канализация” ЕАД, гр. Бургас не е провеждало действия в областта на научноизследователската и развойната дейност.</w:t>
      </w:r>
    </w:p>
    <w:p w14:paraId="6C4873FA" w14:textId="77777777" w:rsidR="00D3764A" w:rsidRDefault="00D3764A" w:rsidP="00891C26">
      <w:pPr>
        <w:pStyle w:val="ListParagraph"/>
        <w:widowControl/>
        <w:numPr>
          <w:ilvl w:val="0"/>
          <w:numId w:val="30"/>
        </w:numPr>
        <w:tabs>
          <w:tab w:val="left" w:pos="851"/>
        </w:tabs>
        <w:autoSpaceDE/>
        <w:autoSpaceDN/>
        <w:adjustRightInd/>
        <w:spacing w:line="276" w:lineRule="auto"/>
        <w:ind w:left="851" w:hanging="284"/>
        <w:jc w:val="both"/>
        <w:rPr>
          <w:b/>
        </w:rPr>
      </w:pPr>
      <w:r w:rsidRPr="00C67CA3">
        <w:rPr>
          <w:b/>
        </w:rPr>
        <w:lastRenderedPageBreak/>
        <w:t>Информация за придобиване на собствени акции, изисквана по реда на чл. 187д от Търговския закон</w:t>
      </w:r>
    </w:p>
    <w:p w14:paraId="3296230D" w14:textId="77777777" w:rsidR="001D6BDE" w:rsidRPr="00C67CA3" w:rsidRDefault="001D6BDE" w:rsidP="00891C26">
      <w:pPr>
        <w:pStyle w:val="ListParagraph"/>
        <w:widowControl/>
        <w:tabs>
          <w:tab w:val="left" w:pos="851"/>
        </w:tabs>
        <w:autoSpaceDE/>
        <w:autoSpaceDN/>
        <w:adjustRightInd/>
        <w:spacing w:line="276" w:lineRule="auto"/>
        <w:ind w:left="851"/>
        <w:jc w:val="both"/>
        <w:rPr>
          <w:b/>
        </w:rPr>
      </w:pPr>
    </w:p>
    <w:p w14:paraId="44CB6C7C" w14:textId="77777777" w:rsidR="00D3764A" w:rsidRPr="00C67CA3" w:rsidRDefault="00D3764A" w:rsidP="00891C26">
      <w:pPr>
        <w:pStyle w:val="ListParagraph"/>
        <w:widowControl/>
        <w:numPr>
          <w:ilvl w:val="1"/>
          <w:numId w:val="30"/>
        </w:numPr>
        <w:tabs>
          <w:tab w:val="left" w:pos="1134"/>
        </w:tabs>
        <w:autoSpaceDE/>
        <w:autoSpaceDN/>
        <w:adjustRightInd/>
        <w:spacing w:before="240" w:after="240" w:line="276" w:lineRule="auto"/>
        <w:ind w:left="1134" w:hanging="283"/>
        <w:jc w:val="both"/>
        <w:rPr>
          <w:b/>
        </w:rPr>
      </w:pPr>
      <w:r w:rsidRPr="00C67CA3">
        <w:rPr>
          <w:b/>
        </w:rPr>
        <w:t>Броят и номиналната стойност на придобитите и прехвърлените през годината собствени акции, частта от капитала, която те представляват, както и цената, по която е станало придобиването или прехвърлянето</w:t>
      </w:r>
    </w:p>
    <w:p w14:paraId="4B0DA4D1" w14:textId="77777777" w:rsidR="00D3764A" w:rsidRDefault="00D3764A" w:rsidP="00891C26">
      <w:pPr>
        <w:pStyle w:val="BodyText"/>
        <w:spacing w:line="276" w:lineRule="auto"/>
        <w:ind w:firstLine="851"/>
        <w:jc w:val="both"/>
      </w:pPr>
      <w:r w:rsidRPr="00C67CA3">
        <w:t>„Водоснабдяване и канализация” ЕАД, гр. Бургас е еднолично акционерно дружество и всички акции от капитала на дружеството се притежават от едноличен собственик на капитала – Министерството на регионалното развитие и благоустр</w:t>
      </w:r>
      <w:r w:rsidR="00BD7F9D">
        <w:t>ойството на Република България.</w:t>
      </w:r>
    </w:p>
    <w:p w14:paraId="64CECEF5" w14:textId="77777777" w:rsidR="00D3764A" w:rsidRPr="00C67CA3" w:rsidRDefault="00D3764A" w:rsidP="00891C26">
      <w:pPr>
        <w:pStyle w:val="ListParagraph"/>
        <w:widowControl/>
        <w:numPr>
          <w:ilvl w:val="1"/>
          <w:numId w:val="30"/>
        </w:numPr>
        <w:tabs>
          <w:tab w:val="left" w:pos="1134"/>
        </w:tabs>
        <w:autoSpaceDE/>
        <w:autoSpaceDN/>
        <w:adjustRightInd/>
        <w:spacing w:before="240" w:after="240" w:line="276" w:lineRule="auto"/>
        <w:ind w:left="1134" w:hanging="283"/>
        <w:jc w:val="both"/>
        <w:rPr>
          <w:b/>
        </w:rPr>
      </w:pPr>
      <w:r w:rsidRPr="00C67CA3">
        <w:rPr>
          <w:b/>
        </w:rPr>
        <w:t>Броят и номиналната стойност на притежаваните собствени акции и частта от капитала, която те представляват</w:t>
      </w:r>
    </w:p>
    <w:p w14:paraId="6CE6899B" w14:textId="77777777" w:rsidR="00D3764A" w:rsidRPr="00C67CA3" w:rsidRDefault="00D3764A" w:rsidP="00891C26">
      <w:pPr>
        <w:pStyle w:val="BodyText"/>
        <w:spacing w:line="276" w:lineRule="auto"/>
        <w:ind w:firstLine="851"/>
        <w:jc w:val="both"/>
      </w:pPr>
      <w:r w:rsidRPr="00C67CA3">
        <w:t>Дружеството не притежава собствени акции.</w:t>
      </w:r>
    </w:p>
    <w:p w14:paraId="633A0222" w14:textId="77777777" w:rsidR="00D3764A" w:rsidRDefault="00D3764A" w:rsidP="00891C26">
      <w:pPr>
        <w:pStyle w:val="BodyText"/>
        <w:spacing w:after="0" w:line="276" w:lineRule="auto"/>
        <w:ind w:firstLine="567"/>
        <w:jc w:val="both"/>
      </w:pPr>
    </w:p>
    <w:p w14:paraId="55651BA5" w14:textId="77777777" w:rsidR="00D3764A" w:rsidRPr="00C67CA3" w:rsidRDefault="00D3764A" w:rsidP="00891C26">
      <w:pPr>
        <w:pStyle w:val="ListParagraph"/>
        <w:widowControl/>
        <w:numPr>
          <w:ilvl w:val="0"/>
          <w:numId w:val="30"/>
        </w:numPr>
        <w:tabs>
          <w:tab w:val="left" w:pos="851"/>
        </w:tabs>
        <w:autoSpaceDE/>
        <w:autoSpaceDN/>
        <w:adjustRightInd/>
        <w:spacing w:after="240" w:line="276" w:lineRule="auto"/>
        <w:ind w:left="851" w:hanging="284"/>
        <w:jc w:val="both"/>
        <w:rPr>
          <w:b/>
        </w:rPr>
      </w:pPr>
      <w:r w:rsidRPr="00C67CA3">
        <w:rPr>
          <w:b/>
        </w:rPr>
        <w:t>Наличието на клонове на предприятието</w:t>
      </w:r>
    </w:p>
    <w:p w14:paraId="22E25C0A" w14:textId="77777777" w:rsidR="00D3764A" w:rsidRPr="00C67CA3" w:rsidRDefault="00D3764A" w:rsidP="00891C26">
      <w:pPr>
        <w:pStyle w:val="BodyText"/>
        <w:spacing w:line="276" w:lineRule="auto"/>
        <w:ind w:firstLine="851"/>
        <w:jc w:val="both"/>
        <w:rPr>
          <w:lang w:eastAsia="en-US"/>
        </w:rPr>
      </w:pPr>
      <w:r w:rsidRPr="00C67CA3">
        <w:t>Дружеството</w:t>
      </w:r>
      <w:r w:rsidRPr="00C67CA3">
        <w:rPr>
          <w:lang w:eastAsia="en-US"/>
        </w:rPr>
        <w:t xml:space="preserve"> </w:t>
      </w:r>
      <w:r w:rsidRPr="00C67CA3">
        <w:t>няма</w:t>
      </w:r>
      <w:r w:rsidRPr="00C67CA3">
        <w:rPr>
          <w:lang w:eastAsia="en-US"/>
        </w:rPr>
        <w:t xml:space="preserve"> регистрирани клонове.</w:t>
      </w:r>
    </w:p>
    <w:p w14:paraId="32F889BF" w14:textId="77777777" w:rsidR="00CA427F" w:rsidRPr="00CA427F" w:rsidRDefault="00CA427F" w:rsidP="00891C26">
      <w:pPr>
        <w:pStyle w:val="BodyText"/>
        <w:spacing w:after="0" w:line="276" w:lineRule="auto"/>
        <w:ind w:firstLine="567"/>
        <w:jc w:val="both"/>
      </w:pPr>
    </w:p>
    <w:p w14:paraId="03C93743" w14:textId="77777777" w:rsidR="00887430" w:rsidRPr="00C67CA3" w:rsidRDefault="00887430" w:rsidP="00891C26">
      <w:pPr>
        <w:pStyle w:val="ListParagraph"/>
        <w:widowControl/>
        <w:numPr>
          <w:ilvl w:val="0"/>
          <w:numId w:val="30"/>
        </w:numPr>
        <w:tabs>
          <w:tab w:val="left" w:pos="851"/>
        </w:tabs>
        <w:autoSpaceDE/>
        <w:autoSpaceDN/>
        <w:adjustRightInd/>
        <w:spacing w:after="240" w:line="276" w:lineRule="auto"/>
        <w:ind w:left="851" w:hanging="284"/>
        <w:jc w:val="both"/>
        <w:rPr>
          <w:b/>
        </w:rPr>
      </w:pPr>
      <w:r w:rsidRPr="00C67CA3">
        <w:rPr>
          <w:b/>
        </w:rPr>
        <w:t>Използваните от предприятието финансови инструменти</w:t>
      </w:r>
    </w:p>
    <w:p w14:paraId="5959B4C5" w14:textId="77777777" w:rsidR="00887430" w:rsidRDefault="00887430" w:rsidP="00A211C4">
      <w:pPr>
        <w:pStyle w:val="BodyText"/>
        <w:spacing w:after="240" w:line="276" w:lineRule="auto"/>
        <w:ind w:firstLine="851"/>
        <w:jc w:val="both"/>
      </w:pPr>
      <w:r w:rsidRPr="00C67CA3">
        <w:t>Структура на финансовите активи и пасиви на „Водоснабдяване и канализация” ЕАД, гр. Бургас към 31.12.201</w:t>
      </w:r>
      <w:r w:rsidR="000A70B3">
        <w:t>9</w:t>
      </w:r>
      <w:r w:rsidRPr="00C67CA3">
        <w:t xml:space="preserve"> г. по категории са както следва:</w:t>
      </w:r>
    </w:p>
    <w:tbl>
      <w:tblPr>
        <w:tblW w:w="9072" w:type="dxa"/>
        <w:tblInd w:w="70" w:type="dxa"/>
        <w:tblLayout w:type="fixed"/>
        <w:tblCellMar>
          <w:left w:w="70" w:type="dxa"/>
          <w:right w:w="70" w:type="dxa"/>
        </w:tblCellMar>
        <w:tblLook w:val="00A0" w:firstRow="1" w:lastRow="0" w:firstColumn="1" w:lastColumn="0" w:noHBand="0" w:noVBand="0"/>
      </w:tblPr>
      <w:tblGrid>
        <w:gridCol w:w="6077"/>
        <w:gridCol w:w="160"/>
        <w:gridCol w:w="1418"/>
        <w:gridCol w:w="1417"/>
      </w:tblGrid>
      <w:tr w:rsidR="000A70B3" w:rsidRPr="000B2CB1" w14:paraId="62A72D49" w14:textId="77777777" w:rsidTr="007A5EF4">
        <w:trPr>
          <w:trHeight w:val="181"/>
        </w:trPr>
        <w:tc>
          <w:tcPr>
            <w:tcW w:w="6077" w:type="dxa"/>
            <w:tcBorders>
              <w:top w:val="nil"/>
              <w:left w:val="nil"/>
              <w:bottom w:val="nil"/>
              <w:right w:val="nil"/>
            </w:tcBorders>
          </w:tcPr>
          <w:p w14:paraId="6178C294" w14:textId="77777777" w:rsidR="000A70B3" w:rsidRPr="000B2CB1" w:rsidRDefault="000A70B3" w:rsidP="00891C26">
            <w:pPr>
              <w:spacing w:line="276" w:lineRule="auto"/>
              <w:rPr>
                <w:b/>
                <w:bCs/>
              </w:rPr>
            </w:pPr>
            <w:r w:rsidRPr="000B2CB1">
              <w:rPr>
                <w:b/>
                <w:bCs/>
              </w:rPr>
              <w:t>Финансови активи</w:t>
            </w:r>
          </w:p>
        </w:tc>
        <w:tc>
          <w:tcPr>
            <w:tcW w:w="160" w:type="dxa"/>
            <w:vMerge w:val="restart"/>
            <w:tcBorders>
              <w:top w:val="nil"/>
              <w:left w:val="nil"/>
              <w:bottom w:val="nil"/>
              <w:right w:val="nil"/>
            </w:tcBorders>
          </w:tcPr>
          <w:p w14:paraId="70CD9FDF" w14:textId="77777777" w:rsidR="000A70B3" w:rsidRPr="000B2CB1" w:rsidRDefault="000A70B3" w:rsidP="00891C26">
            <w:pPr>
              <w:spacing w:line="276" w:lineRule="auto"/>
              <w:jc w:val="right"/>
              <w:rPr>
                <w:b/>
                <w:bCs/>
              </w:rPr>
            </w:pPr>
          </w:p>
        </w:tc>
        <w:tc>
          <w:tcPr>
            <w:tcW w:w="1418" w:type="dxa"/>
            <w:tcBorders>
              <w:top w:val="nil"/>
              <w:left w:val="nil"/>
              <w:right w:val="nil"/>
            </w:tcBorders>
          </w:tcPr>
          <w:p w14:paraId="1B7B34BC" w14:textId="77777777" w:rsidR="000A70B3" w:rsidRPr="000B2CB1" w:rsidRDefault="000A70B3" w:rsidP="00891C26">
            <w:pPr>
              <w:spacing w:line="276" w:lineRule="auto"/>
              <w:jc w:val="right"/>
              <w:rPr>
                <w:b/>
                <w:bCs/>
              </w:rPr>
            </w:pPr>
            <w:r w:rsidRPr="000B2CB1">
              <w:rPr>
                <w:b/>
                <w:bCs/>
              </w:rPr>
              <w:t>201</w:t>
            </w:r>
            <w:r>
              <w:rPr>
                <w:b/>
                <w:bCs/>
              </w:rPr>
              <w:t>9</w:t>
            </w:r>
          </w:p>
        </w:tc>
        <w:tc>
          <w:tcPr>
            <w:tcW w:w="1417" w:type="dxa"/>
            <w:tcBorders>
              <w:top w:val="nil"/>
              <w:left w:val="nil"/>
              <w:right w:val="nil"/>
            </w:tcBorders>
          </w:tcPr>
          <w:p w14:paraId="60A2DA8D" w14:textId="77777777" w:rsidR="000A70B3" w:rsidRPr="000B2CB1" w:rsidRDefault="000A70B3" w:rsidP="00891C26">
            <w:pPr>
              <w:spacing w:line="276" w:lineRule="auto"/>
              <w:jc w:val="right"/>
              <w:rPr>
                <w:b/>
                <w:bCs/>
              </w:rPr>
            </w:pPr>
            <w:r w:rsidRPr="000B2CB1">
              <w:rPr>
                <w:b/>
                <w:bCs/>
              </w:rPr>
              <w:t>201</w:t>
            </w:r>
            <w:r>
              <w:rPr>
                <w:b/>
                <w:bCs/>
                <w:lang w:val="en-GB"/>
              </w:rPr>
              <w:t>8</w:t>
            </w:r>
          </w:p>
        </w:tc>
      </w:tr>
      <w:tr w:rsidR="000A70B3" w:rsidRPr="000B2CB1" w14:paraId="014E1569" w14:textId="77777777" w:rsidTr="007A5EF4">
        <w:trPr>
          <w:trHeight w:val="181"/>
        </w:trPr>
        <w:tc>
          <w:tcPr>
            <w:tcW w:w="6077" w:type="dxa"/>
            <w:tcBorders>
              <w:top w:val="nil"/>
              <w:left w:val="nil"/>
              <w:bottom w:val="nil"/>
              <w:right w:val="nil"/>
            </w:tcBorders>
          </w:tcPr>
          <w:p w14:paraId="42813019" w14:textId="77777777" w:rsidR="000A70B3" w:rsidRPr="000B2CB1" w:rsidRDefault="000A70B3" w:rsidP="00891C26">
            <w:pPr>
              <w:spacing w:line="276" w:lineRule="auto"/>
            </w:pPr>
          </w:p>
        </w:tc>
        <w:tc>
          <w:tcPr>
            <w:tcW w:w="160" w:type="dxa"/>
            <w:vMerge/>
            <w:tcBorders>
              <w:top w:val="nil"/>
              <w:left w:val="nil"/>
              <w:bottom w:val="nil"/>
              <w:right w:val="nil"/>
            </w:tcBorders>
            <w:vAlign w:val="center"/>
          </w:tcPr>
          <w:p w14:paraId="711EFC1B" w14:textId="77777777" w:rsidR="000A70B3" w:rsidRPr="000B2CB1" w:rsidRDefault="000A70B3" w:rsidP="00891C26">
            <w:pPr>
              <w:spacing w:line="276" w:lineRule="auto"/>
              <w:rPr>
                <w:b/>
                <w:bCs/>
              </w:rPr>
            </w:pPr>
          </w:p>
        </w:tc>
        <w:tc>
          <w:tcPr>
            <w:tcW w:w="1418" w:type="dxa"/>
            <w:tcBorders>
              <w:top w:val="nil"/>
              <w:left w:val="nil"/>
              <w:bottom w:val="nil"/>
              <w:right w:val="nil"/>
            </w:tcBorders>
          </w:tcPr>
          <w:p w14:paraId="4CBA8D85" w14:textId="77777777" w:rsidR="000A70B3" w:rsidRPr="000B2CB1" w:rsidRDefault="000A70B3" w:rsidP="00891C26">
            <w:pPr>
              <w:keepNext/>
              <w:keepLines/>
              <w:spacing w:line="276" w:lineRule="auto"/>
              <w:ind w:left="567" w:hanging="567"/>
              <w:jc w:val="right"/>
              <w:rPr>
                <w:b/>
                <w:bCs/>
              </w:rPr>
            </w:pPr>
            <w:r w:rsidRPr="000B2CB1">
              <w:rPr>
                <w:b/>
                <w:bCs/>
              </w:rPr>
              <w:t>‘000 лв.</w:t>
            </w:r>
          </w:p>
        </w:tc>
        <w:tc>
          <w:tcPr>
            <w:tcW w:w="1417" w:type="dxa"/>
            <w:tcBorders>
              <w:top w:val="nil"/>
              <w:left w:val="nil"/>
              <w:bottom w:val="nil"/>
              <w:right w:val="nil"/>
            </w:tcBorders>
          </w:tcPr>
          <w:p w14:paraId="2BD40EF2" w14:textId="77777777" w:rsidR="000A70B3" w:rsidRPr="000B2CB1" w:rsidRDefault="000A70B3" w:rsidP="00891C26">
            <w:pPr>
              <w:keepNext/>
              <w:keepLines/>
              <w:spacing w:line="276" w:lineRule="auto"/>
              <w:ind w:left="567" w:hanging="567"/>
              <w:jc w:val="right"/>
              <w:rPr>
                <w:b/>
                <w:bCs/>
              </w:rPr>
            </w:pPr>
            <w:r w:rsidRPr="000B2CB1">
              <w:rPr>
                <w:b/>
                <w:bCs/>
              </w:rPr>
              <w:t>‘000 лв.</w:t>
            </w:r>
          </w:p>
        </w:tc>
      </w:tr>
      <w:tr w:rsidR="000A70B3" w:rsidRPr="000B2CB1" w14:paraId="584BDBD3" w14:textId="77777777" w:rsidTr="007A5EF4">
        <w:trPr>
          <w:trHeight w:val="181"/>
        </w:trPr>
        <w:tc>
          <w:tcPr>
            <w:tcW w:w="6077" w:type="dxa"/>
            <w:tcBorders>
              <w:top w:val="nil"/>
              <w:left w:val="nil"/>
              <w:bottom w:val="nil"/>
              <w:right w:val="nil"/>
            </w:tcBorders>
            <w:vAlign w:val="bottom"/>
          </w:tcPr>
          <w:p w14:paraId="7154BF17" w14:textId="77777777" w:rsidR="000A70B3" w:rsidRPr="000B2CB1" w:rsidRDefault="000A70B3" w:rsidP="00891C26">
            <w:pPr>
              <w:spacing w:line="276" w:lineRule="auto"/>
            </w:pPr>
            <w:r w:rsidRPr="000B2CB1">
              <w:t>Текущи активи:</w:t>
            </w:r>
          </w:p>
        </w:tc>
        <w:tc>
          <w:tcPr>
            <w:tcW w:w="160" w:type="dxa"/>
            <w:tcBorders>
              <w:top w:val="nil"/>
              <w:left w:val="nil"/>
              <w:bottom w:val="nil"/>
              <w:right w:val="nil"/>
            </w:tcBorders>
            <w:vAlign w:val="bottom"/>
          </w:tcPr>
          <w:p w14:paraId="5B33B8EF" w14:textId="77777777" w:rsidR="000A70B3" w:rsidRPr="000B2CB1" w:rsidRDefault="000A70B3" w:rsidP="00891C26">
            <w:pPr>
              <w:spacing w:line="276" w:lineRule="auto"/>
              <w:jc w:val="right"/>
            </w:pPr>
          </w:p>
        </w:tc>
        <w:tc>
          <w:tcPr>
            <w:tcW w:w="1418" w:type="dxa"/>
            <w:tcBorders>
              <w:left w:val="nil"/>
              <w:bottom w:val="nil"/>
              <w:right w:val="nil"/>
            </w:tcBorders>
          </w:tcPr>
          <w:p w14:paraId="6A4A9219" w14:textId="77777777" w:rsidR="000A70B3" w:rsidRPr="000B2CB1" w:rsidRDefault="000A70B3" w:rsidP="00891C26">
            <w:pPr>
              <w:spacing w:line="276" w:lineRule="auto"/>
            </w:pPr>
          </w:p>
        </w:tc>
        <w:tc>
          <w:tcPr>
            <w:tcW w:w="1417" w:type="dxa"/>
            <w:tcBorders>
              <w:left w:val="nil"/>
              <w:bottom w:val="nil"/>
              <w:right w:val="nil"/>
            </w:tcBorders>
          </w:tcPr>
          <w:p w14:paraId="49D3AACA" w14:textId="77777777" w:rsidR="000A70B3" w:rsidRPr="000B2CB1" w:rsidRDefault="000A70B3" w:rsidP="00891C26">
            <w:pPr>
              <w:spacing w:line="276" w:lineRule="auto"/>
            </w:pPr>
          </w:p>
        </w:tc>
      </w:tr>
      <w:tr w:rsidR="002A67C6" w:rsidRPr="000B2CB1" w14:paraId="7442EB66" w14:textId="77777777" w:rsidTr="008B7085">
        <w:trPr>
          <w:trHeight w:val="181"/>
        </w:trPr>
        <w:tc>
          <w:tcPr>
            <w:tcW w:w="6077" w:type="dxa"/>
            <w:tcBorders>
              <w:top w:val="nil"/>
              <w:left w:val="nil"/>
              <w:bottom w:val="nil"/>
              <w:right w:val="nil"/>
            </w:tcBorders>
            <w:vAlign w:val="bottom"/>
          </w:tcPr>
          <w:p w14:paraId="713D22B0" w14:textId="77777777" w:rsidR="002A67C6" w:rsidRPr="000B2CB1" w:rsidRDefault="002A67C6" w:rsidP="002A67C6">
            <w:pPr>
              <w:spacing w:line="276" w:lineRule="auto"/>
            </w:pPr>
            <w:r w:rsidRPr="000B2CB1">
              <w:t xml:space="preserve">   Търговски и други вземания</w:t>
            </w:r>
          </w:p>
        </w:tc>
        <w:tc>
          <w:tcPr>
            <w:tcW w:w="160" w:type="dxa"/>
            <w:tcBorders>
              <w:top w:val="nil"/>
              <w:left w:val="nil"/>
              <w:bottom w:val="nil"/>
              <w:right w:val="nil"/>
            </w:tcBorders>
          </w:tcPr>
          <w:p w14:paraId="5168AF80" w14:textId="77777777" w:rsidR="002A67C6" w:rsidRPr="000B2CB1" w:rsidRDefault="002A67C6" w:rsidP="002A67C6">
            <w:pPr>
              <w:spacing w:line="276" w:lineRule="auto"/>
              <w:jc w:val="right"/>
            </w:pPr>
          </w:p>
        </w:tc>
        <w:tc>
          <w:tcPr>
            <w:tcW w:w="1418" w:type="dxa"/>
            <w:tcBorders>
              <w:top w:val="nil"/>
              <w:left w:val="nil"/>
              <w:bottom w:val="nil"/>
              <w:right w:val="nil"/>
            </w:tcBorders>
            <w:vAlign w:val="center"/>
          </w:tcPr>
          <w:p w14:paraId="38219B31" w14:textId="5C9C6814" w:rsidR="002A67C6" w:rsidRPr="00F60BED" w:rsidRDefault="002A67C6" w:rsidP="002A67C6">
            <w:pPr>
              <w:keepNext/>
              <w:keepLines/>
              <w:spacing w:line="276" w:lineRule="auto"/>
              <w:ind w:left="567" w:hanging="567"/>
              <w:jc w:val="right"/>
            </w:pPr>
            <w:r w:rsidRPr="00F60BED">
              <w:t>11,006</w:t>
            </w:r>
          </w:p>
        </w:tc>
        <w:tc>
          <w:tcPr>
            <w:tcW w:w="1417" w:type="dxa"/>
            <w:tcBorders>
              <w:top w:val="nil"/>
              <w:left w:val="nil"/>
              <w:bottom w:val="nil"/>
              <w:right w:val="nil"/>
            </w:tcBorders>
            <w:vAlign w:val="center"/>
          </w:tcPr>
          <w:p w14:paraId="7C4B6A88" w14:textId="7751C19F" w:rsidR="002A67C6" w:rsidRPr="00F60BED" w:rsidRDefault="002A67C6" w:rsidP="002A67C6">
            <w:pPr>
              <w:keepNext/>
              <w:keepLines/>
              <w:spacing w:line="276" w:lineRule="auto"/>
              <w:ind w:left="567" w:hanging="567"/>
              <w:jc w:val="right"/>
            </w:pPr>
            <w:r w:rsidRPr="00F60BED">
              <w:t>10,051</w:t>
            </w:r>
          </w:p>
        </w:tc>
      </w:tr>
      <w:tr w:rsidR="002A67C6" w:rsidRPr="000B2CB1" w14:paraId="5174A886" w14:textId="77777777" w:rsidTr="00F60BED">
        <w:trPr>
          <w:trHeight w:val="181"/>
        </w:trPr>
        <w:tc>
          <w:tcPr>
            <w:tcW w:w="6077" w:type="dxa"/>
            <w:tcBorders>
              <w:top w:val="nil"/>
              <w:left w:val="nil"/>
              <w:bottom w:val="nil"/>
              <w:right w:val="nil"/>
            </w:tcBorders>
            <w:vAlign w:val="bottom"/>
          </w:tcPr>
          <w:p w14:paraId="14262977" w14:textId="77A97FF2" w:rsidR="002A67C6" w:rsidRPr="000B2CB1" w:rsidRDefault="002A67C6" w:rsidP="002A67C6">
            <w:pPr>
              <w:spacing w:line="276" w:lineRule="auto"/>
            </w:pPr>
            <w:r w:rsidRPr="00F60BED">
              <w:t xml:space="preserve">   Търговски вземания от свързани лица</w:t>
            </w:r>
          </w:p>
        </w:tc>
        <w:tc>
          <w:tcPr>
            <w:tcW w:w="160" w:type="dxa"/>
            <w:tcBorders>
              <w:top w:val="nil"/>
              <w:left w:val="nil"/>
              <w:bottom w:val="nil"/>
              <w:right w:val="nil"/>
            </w:tcBorders>
          </w:tcPr>
          <w:p w14:paraId="171167F1" w14:textId="77777777" w:rsidR="002A67C6" w:rsidRPr="000B2CB1" w:rsidRDefault="002A67C6" w:rsidP="002A67C6">
            <w:pPr>
              <w:spacing w:line="276" w:lineRule="auto"/>
              <w:jc w:val="right"/>
            </w:pPr>
          </w:p>
        </w:tc>
        <w:tc>
          <w:tcPr>
            <w:tcW w:w="1418" w:type="dxa"/>
            <w:tcBorders>
              <w:top w:val="nil"/>
              <w:left w:val="nil"/>
              <w:bottom w:val="nil"/>
              <w:right w:val="nil"/>
            </w:tcBorders>
          </w:tcPr>
          <w:p w14:paraId="11CD3463" w14:textId="136E4724" w:rsidR="002A67C6" w:rsidRPr="00F60BED" w:rsidRDefault="002A67C6" w:rsidP="002A67C6">
            <w:pPr>
              <w:keepNext/>
              <w:keepLines/>
              <w:spacing w:line="276" w:lineRule="auto"/>
              <w:ind w:left="567" w:hanging="567"/>
              <w:jc w:val="right"/>
            </w:pPr>
            <w:r w:rsidRPr="00F60BED">
              <w:t>3,221</w:t>
            </w:r>
          </w:p>
        </w:tc>
        <w:tc>
          <w:tcPr>
            <w:tcW w:w="1417" w:type="dxa"/>
            <w:tcBorders>
              <w:top w:val="nil"/>
              <w:left w:val="nil"/>
              <w:bottom w:val="nil"/>
              <w:right w:val="nil"/>
            </w:tcBorders>
          </w:tcPr>
          <w:p w14:paraId="085F7769" w14:textId="08ABF4F1" w:rsidR="002A67C6" w:rsidRPr="0079759A" w:rsidRDefault="002A67C6" w:rsidP="002A67C6">
            <w:pPr>
              <w:keepNext/>
              <w:keepLines/>
              <w:spacing w:line="276" w:lineRule="auto"/>
              <w:ind w:left="567" w:hanging="567"/>
              <w:jc w:val="right"/>
            </w:pPr>
            <w:r w:rsidRPr="00F60BED">
              <w:t>9,455</w:t>
            </w:r>
          </w:p>
        </w:tc>
      </w:tr>
      <w:tr w:rsidR="002A67C6" w:rsidRPr="000B2CB1" w14:paraId="2D6F88DD" w14:textId="77777777" w:rsidTr="00F60BED">
        <w:trPr>
          <w:trHeight w:val="181"/>
        </w:trPr>
        <w:tc>
          <w:tcPr>
            <w:tcW w:w="6077" w:type="dxa"/>
            <w:tcBorders>
              <w:top w:val="nil"/>
              <w:left w:val="nil"/>
              <w:bottom w:val="nil"/>
              <w:right w:val="nil"/>
            </w:tcBorders>
            <w:vAlign w:val="bottom"/>
          </w:tcPr>
          <w:p w14:paraId="6E9A5DD4" w14:textId="3C9E4F2D" w:rsidR="002A67C6" w:rsidRPr="000B2CB1" w:rsidRDefault="002A67C6" w:rsidP="002A67C6">
            <w:pPr>
              <w:spacing w:line="276" w:lineRule="auto"/>
            </w:pPr>
            <w:r w:rsidRPr="00F60BED">
              <w:t xml:space="preserve">   Вземания по договори за цесия</w:t>
            </w:r>
          </w:p>
        </w:tc>
        <w:tc>
          <w:tcPr>
            <w:tcW w:w="160" w:type="dxa"/>
            <w:tcBorders>
              <w:top w:val="nil"/>
              <w:left w:val="nil"/>
              <w:bottom w:val="nil"/>
              <w:right w:val="nil"/>
            </w:tcBorders>
          </w:tcPr>
          <w:p w14:paraId="330E7531" w14:textId="77777777" w:rsidR="002A67C6" w:rsidRPr="000B2CB1" w:rsidRDefault="002A67C6" w:rsidP="002A67C6">
            <w:pPr>
              <w:spacing w:line="276" w:lineRule="auto"/>
              <w:jc w:val="right"/>
            </w:pPr>
          </w:p>
        </w:tc>
        <w:tc>
          <w:tcPr>
            <w:tcW w:w="1418" w:type="dxa"/>
            <w:tcBorders>
              <w:top w:val="nil"/>
              <w:left w:val="nil"/>
              <w:bottom w:val="nil"/>
              <w:right w:val="nil"/>
            </w:tcBorders>
          </w:tcPr>
          <w:p w14:paraId="4CB2B749" w14:textId="47E07241" w:rsidR="002A67C6" w:rsidRPr="00F60BED" w:rsidRDefault="002A67C6" w:rsidP="002A67C6">
            <w:pPr>
              <w:keepNext/>
              <w:keepLines/>
              <w:spacing w:line="276" w:lineRule="auto"/>
              <w:ind w:left="567" w:hanging="567"/>
              <w:jc w:val="right"/>
            </w:pPr>
            <w:r w:rsidRPr="00F60BED">
              <w:t>1,855</w:t>
            </w:r>
          </w:p>
        </w:tc>
        <w:tc>
          <w:tcPr>
            <w:tcW w:w="1417" w:type="dxa"/>
            <w:tcBorders>
              <w:top w:val="nil"/>
              <w:left w:val="nil"/>
              <w:bottom w:val="nil"/>
              <w:right w:val="nil"/>
            </w:tcBorders>
          </w:tcPr>
          <w:p w14:paraId="7F2E473A" w14:textId="088C0401" w:rsidR="002A67C6" w:rsidRPr="0079759A" w:rsidRDefault="002A67C6" w:rsidP="002A67C6">
            <w:pPr>
              <w:keepNext/>
              <w:keepLines/>
              <w:spacing w:line="276" w:lineRule="auto"/>
              <w:ind w:left="567" w:hanging="567"/>
              <w:jc w:val="right"/>
            </w:pPr>
            <w:r w:rsidRPr="00F60BED">
              <w:t>-</w:t>
            </w:r>
          </w:p>
        </w:tc>
      </w:tr>
      <w:tr w:rsidR="002A67C6" w:rsidRPr="000B2CB1" w14:paraId="5BD494BB" w14:textId="77777777" w:rsidTr="00F60BED">
        <w:trPr>
          <w:trHeight w:val="181"/>
        </w:trPr>
        <w:tc>
          <w:tcPr>
            <w:tcW w:w="6077" w:type="dxa"/>
            <w:tcBorders>
              <w:top w:val="nil"/>
              <w:left w:val="nil"/>
              <w:bottom w:val="nil"/>
              <w:right w:val="nil"/>
            </w:tcBorders>
            <w:vAlign w:val="bottom"/>
          </w:tcPr>
          <w:p w14:paraId="3ECB2CD2" w14:textId="77777777" w:rsidR="002A67C6" w:rsidRPr="000B2CB1" w:rsidRDefault="002A67C6" w:rsidP="002A67C6">
            <w:pPr>
              <w:spacing w:line="276" w:lineRule="auto"/>
            </w:pPr>
            <w:r w:rsidRPr="000B2CB1">
              <w:t xml:space="preserve">   Пари и парични еквиваленти</w:t>
            </w:r>
          </w:p>
        </w:tc>
        <w:tc>
          <w:tcPr>
            <w:tcW w:w="160" w:type="dxa"/>
            <w:tcBorders>
              <w:top w:val="nil"/>
              <w:left w:val="nil"/>
              <w:right w:val="nil"/>
            </w:tcBorders>
          </w:tcPr>
          <w:p w14:paraId="13834045" w14:textId="77777777" w:rsidR="002A67C6" w:rsidRPr="000B2CB1" w:rsidRDefault="002A67C6" w:rsidP="002A67C6">
            <w:pPr>
              <w:spacing w:line="276" w:lineRule="auto"/>
              <w:jc w:val="right"/>
            </w:pPr>
          </w:p>
        </w:tc>
        <w:tc>
          <w:tcPr>
            <w:tcW w:w="1418" w:type="dxa"/>
            <w:tcBorders>
              <w:top w:val="nil"/>
              <w:left w:val="nil"/>
              <w:bottom w:val="single" w:sz="2" w:space="0" w:color="auto"/>
              <w:right w:val="nil"/>
            </w:tcBorders>
            <w:vAlign w:val="bottom"/>
          </w:tcPr>
          <w:p w14:paraId="2D455196" w14:textId="76617E9E" w:rsidR="002A67C6" w:rsidRPr="000B2CB1" w:rsidRDefault="002A67C6" w:rsidP="002A67C6">
            <w:pPr>
              <w:spacing w:line="276" w:lineRule="auto"/>
              <w:jc w:val="right"/>
            </w:pPr>
            <w:r w:rsidRPr="00F60BED">
              <w:t>17,769</w:t>
            </w:r>
          </w:p>
        </w:tc>
        <w:tc>
          <w:tcPr>
            <w:tcW w:w="1417" w:type="dxa"/>
            <w:tcBorders>
              <w:top w:val="nil"/>
              <w:left w:val="nil"/>
              <w:bottom w:val="single" w:sz="2" w:space="0" w:color="auto"/>
              <w:right w:val="nil"/>
            </w:tcBorders>
            <w:vAlign w:val="bottom"/>
          </w:tcPr>
          <w:p w14:paraId="5757BC03" w14:textId="15437122" w:rsidR="002A67C6" w:rsidRPr="000B2CB1" w:rsidRDefault="002A67C6" w:rsidP="002A67C6">
            <w:pPr>
              <w:spacing w:line="276" w:lineRule="auto"/>
              <w:jc w:val="right"/>
            </w:pPr>
            <w:r w:rsidRPr="00F60BED">
              <w:t>17,179</w:t>
            </w:r>
          </w:p>
        </w:tc>
      </w:tr>
      <w:tr w:rsidR="000A70B3" w:rsidRPr="000B2CB1" w14:paraId="0AE1AE95" w14:textId="77777777" w:rsidTr="007A5EF4">
        <w:trPr>
          <w:trHeight w:val="132"/>
        </w:trPr>
        <w:tc>
          <w:tcPr>
            <w:tcW w:w="6077" w:type="dxa"/>
            <w:tcBorders>
              <w:top w:val="nil"/>
              <w:left w:val="nil"/>
              <w:bottom w:val="nil"/>
              <w:right w:val="nil"/>
            </w:tcBorders>
            <w:vAlign w:val="bottom"/>
          </w:tcPr>
          <w:p w14:paraId="055ABB61" w14:textId="77777777" w:rsidR="000A70B3" w:rsidRPr="000B2CB1" w:rsidRDefault="000A70B3" w:rsidP="00891C26">
            <w:pPr>
              <w:spacing w:line="276" w:lineRule="auto"/>
            </w:pPr>
            <w:r w:rsidRPr="000B2CB1">
              <w:t>Финансови активи</w:t>
            </w:r>
          </w:p>
        </w:tc>
        <w:tc>
          <w:tcPr>
            <w:tcW w:w="160" w:type="dxa"/>
            <w:tcBorders>
              <w:left w:val="nil"/>
              <w:right w:val="nil"/>
            </w:tcBorders>
          </w:tcPr>
          <w:p w14:paraId="04D32BDE" w14:textId="77777777" w:rsidR="000A70B3" w:rsidRPr="000B2CB1" w:rsidRDefault="000A70B3" w:rsidP="00891C26">
            <w:pPr>
              <w:spacing w:line="276" w:lineRule="auto"/>
              <w:jc w:val="right"/>
            </w:pPr>
          </w:p>
        </w:tc>
        <w:tc>
          <w:tcPr>
            <w:tcW w:w="1418" w:type="dxa"/>
            <w:tcBorders>
              <w:top w:val="single" w:sz="2" w:space="0" w:color="auto"/>
              <w:left w:val="nil"/>
              <w:bottom w:val="double" w:sz="4" w:space="0" w:color="auto"/>
              <w:right w:val="nil"/>
            </w:tcBorders>
          </w:tcPr>
          <w:p w14:paraId="34469CE5" w14:textId="5EFB1C23" w:rsidR="000A70B3" w:rsidRPr="002A67C6" w:rsidRDefault="002A67C6" w:rsidP="00891C26">
            <w:pPr>
              <w:keepNext/>
              <w:keepLines/>
              <w:spacing w:line="276" w:lineRule="auto"/>
              <w:ind w:left="567" w:hanging="567"/>
              <w:jc w:val="right"/>
              <w:rPr>
                <w:b/>
                <w:bCs/>
              </w:rPr>
            </w:pPr>
            <w:r>
              <w:rPr>
                <w:b/>
                <w:bCs/>
                <w:lang w:val="en-US"/>
              </w:rPr>
              <w:t>3</w:t>
            </w:r>
            <w:r>
              <w:rPr>
                <w:b/>
                <w:bCs/>
              </w:rPr>
              <w:t>3</w:t>
            </w:r>
            <w:r w:rsidR="00DA1231">
              <w:rPr>
                <w:b/>
                <w:bCs/>
                <w:lang w:val="en-US"/>
              </w:rPr>
              <w:t>,</w:t>
            </w:r>
            <w:r>
              <w:rPr>
                <w:b/>
                <w:bCs/>
              </w:rPr>
              <w:t>851</w:t>
            </w:r>
          </w:p>
        </w:tc>
        <w:tc>
          <w:tcPr>
            <w:tcW w:w="1417" w:type="dxa"/>
            <w:tcBorders>
              <w:top w:val="single" w:sz="2" w:space="0" w:color="auto"/>
              <w:left w:val="nil"/>
              <w:bottom w:val="double" w:sz="4" w:space="0" w:color="auto"/>
              <w:right w:val="nil"/>
            </w:tcBorders>
          </w:tcPr>
          <w:p w14:paraId="13FDCE57" w14:textId="77777777" w:rsidR="000A70B3" w:rsidRPr="00E207A8" w:rsidRDefault="000A70B3" w:rsidP="00891C26">
            <w:pPr>
              <w:keepNext/>
              <w:keepLines/>
              <w:spacing w:line="276" w:lineRule="auto"/>
              <w:ind w:left="567" w:hanging="567"/>
              <w:jc w:val="right"/>
              <w:rPr>
                <w:b/>
                <w:bCs/>
              </w:rPr>
            </w:pPr>
            <w:r w:rsidRPr="00C101D7">
              <w:rPr>
                <w:b/>
                <w:bCs/>
              </w:rPr>
              <w:t>36,685</w:t>
            </w:r>
          </w:p>
        </w:tc>
      </w:tr>
    </w:tbl>
    <w:p w14:paraId="0EF34ED7" w14:textId="77777777" w:rsidR="000E7EF0" w:rsidRDefault="000E7EF0" w:rsidP="00891C26">
      <w:pPr>
        <w:spacing w:line="276" w:lineRule="auto"/>
        <w:rPr>
          <w:color w:val="FF0000"/>
        </w:rPr>
      </w:pPr>
    </w:p>
    <w:tbl>
      <w:tblPr>
        <w:tblW w:w="9072" w:type="dxa"/>
        <w:tblInd w:w="70" w:type="dxa"/>
        <w:tblLayout w:type="fixed"/>
        <w:tblCellMar>
          <w:left w:w="70" w:type="dxa"/>
          <w:right w:w="70" w:type="dxa"/>
        </w:tblCellMar>
        <w:tblLook w:val="00A0" w:firstRow="1" w:lastRow="0" w:firstColumn="1" w:lastColumn="0" w:noHBand="0" w:noVBand="0"/>
      </w:tblPr>
      <w:tblGrid>
        <w:gridCol w:w="6077"/>
        <w:gridCol w:w="160"/>
        <w:gridCol w:w="1276"/>
        <w:gridCol w:w="1559"/>
      </w:tblGrid>
      <w:tr w:rsidR="000A70B3" w:rsidRPr="00117077" w14:paraId="2458C068" w14:textId="77777777" w:rsidTr="007A5EF4">
        <w:trPr>
          <w:trHeight w:val="131"/>
        </w:trPr>
        <w:tc>
          <w:tcPr>
            <w:tcW w:w="6077" w:type="dxa"/>
            <w:tcBorders>
              <w:top w:val="nil"/>
              <w:left w:val="nil"/>
              <w:bottom w:val="nil"/>
              <w:right w:val="nil"/>
            </w:tcBorders>
          </w:tcPr>
          <w:p w14:paraId="3014761C" w14:textId="77777777" w:rsidR="000A70B3" w:rsidRPr="00117077" w:rsidRDefault="000A70B3" w:rsidP="00891C26">
            <w:pPr>
              <w:spacing w:line="276" w:lineRule="auto"/>
              <w:rPr>
                <w:b/>
                <w:bCs/>
              </w:rPr>
            </w:pPr>
            <w:r w:rsidRPr="00117077">
              <w:rPr>
                <w:b/>
                <w:bCs/>
              </w:rPr>
              <w:t>Финансови пасиви</w:t>
            </w:r>
          </w:p>
        </w:tc>
        <w:tc>
          <w:tcPr>
            <w:tcW w:w="160" w:type="dxa"/>
            <w:vMerge w:val="restart"/>
            <w:tcBorders>
              <w:top w:val="nil"/>
              <w:left w:val="nil"/>
              <w:bottom w:val="nil"/>
              <w:right w:val="nil"/>
            </w:tcBorders>
          </w:tcPr>
          <w:p w14:paraId="1C03EDFC" w14:textId="77777777" w:rsidR="000A70B3" w:rsidRPr="00117077" w:rsidRDefault="000A70B3" w:rsidP="00891C26">
            <w:pPr>
              <w:spacing w:line="276" w:lineRule="auto"/>
              <w:jc w:val="right"/>
              <w:rPr>
                <w:b/>
                <w:bCs/>
              </w:rPr>
            </w:pPr>
          </w:p>
        </w:tc>
        <w:tc>
          <w:tcPr>
            <w:tcW w:w="1276" w:type="dxa"/>
            <w:tcBorders>
              <w:top w:val="nil"/>
              <w:left w:val="nil"/>
              <w:right w:val="nil"/>
            </w:tcBorders>
          </w:tcPr>
          <w:p w14:paraId="5DCD9FE8" w14:textId="77777777" w:rsidR="000A70B3" w:rsidRPr="00117077" w:rsidRDefault="000A70B3" w:rsidP="00891C26">
            <w:pPr>
              <w:spacing w:line="276" w:lineRule="auto"/>
              <w:jc w:val="right"/>
              <w:rPr>
                <w:b/>
                <w:bCs/>
              </w:rPr>
            </w:pPr>
            <w:r w:rsidRPr="00117077">
              <w:rPr>
                <w:b/>
                <w:bCs/>
              </w:rPr>
              <w:t>201</w:t>
            </w:r>
            <w:r>
              <w:rPr>
                <w:b/>
                <w:bCs/>
              </w:rPr>
              <w:t>9</w:t>
            </w:r>
          </w:p>
        </w:tc>
        <w:tc>
          <w:tcPr>
            <w:tcW w:w="1559" w:type="dxa"/>
            <w:tcBorders>
              <w:top w:val="nil"/>
              <w:left w:val="nil"/>
              <w:right w:val="nil"/>
            </w:tcBorders>
          </w:tcPr>
          <w:p w14:paraId="347C6C6F" w14:textId="77777777" w:rsidR="000A70B3" w:rsidRPr="00117077" w:rsidRDefault="000A70B3" w:rsidP="00891C26">
            <w:pPr>
              <w:spacing w:line="276" w:lineRule="auto"/>
              <w:jc w:val="right"/>
              <w:rPr>
                <w:b/>
                <w:bCs/>
              </w:rPr>
            </w:pPr>
            <w:r w:rsidRPr="00117077">
              <w:rPr>
                <w:b/>
                <w:bCs/>
              </w:rPr>
              <w:t>201</w:t>
            </w:r>
            <w:r>
              <w:rPr>
                <w:b/>
                <w:bCs/>
              </w:rPr>
              <w:t>8</w:t>
            </w:r>
          </w:p>
        </w:tc>
      </w:tr>
      <w:tr w:rsidR="000A70B3" w:rsidRPr="00117077" w14:paraId="0B83555C" w14:textId="77777777" w:rsidTr="007A5EF4">
        <w:trPr>
          <w:trHeight w:val="68"/>
        </w:trPr>
        <w:tc>
          <w:tcPr>
            <w:tcW w:w="6077" w:type="dxa"/>
            <w:tcBorders>
              <w:top w:val="nil"/>
              <w:left w:val="nil"/>
              <w:bottom w:val="nil"/>
              <w:right w:val="nil"/>
            </w:tcBorders>
          </w:tcPr>
          <w:p w14:paraId="7BDA26B3" w14:textId="77777777" w:rsidR="000A70B3" w:rsidRPr="00117077" w:rsidRDefault="000A70B3" w:rsidP="00891C26">
            <w:pPr>
              <w:spacing w:line="276" w:lineRule="auto"/>
            </w:pPr>
          </w:p>
        </w:tc>
        <w:tc>
          <w:tcPr>
            <w:tcW w:w="160" w:type="dxa"/>
            <w:vMerge/>
            <w:tcBorders>
              <w:top w:val="nil"/>
              <w:left w:val="nil"/>
              <w:bottom w:val="nil"/>
              <w:right w:val="nil"/>
            </w:tcBorders>
            <w:vAlign w:val="center"/>
          </w:tcPr>
          <w:p w14:paraId="7B0BA7D2" w14:textId="77777777" w:rsidR="000A70B3" w:rsidRPr="00117077" w:rsidRDefault="000A70B3" w:rsidP="00891C26">
            <w:pPr>
              <w:spacing w:line="276" w:lineRule="auto"/>
              <w:rPr>
                <w:b/>
                <w:bCs/>
              </w:rPr>
            </w:pPr>
          </w:p>
        </w:tc>
        <w:tc>
          <w:tcPr>
            <w:tcW w:w="1276" w:type="dxa"/>
            <w:tcBorders>
              <w:top w:val="nil"/>
              <w:left w:val="nil"/>
              <w:bottom w:val="nil"/>
              <w:right w:val="nil"/>
            </w:tcBorders>
          </w:tcPr>
          <w:p w14:paraId="09321ACE" w14:textId="77777777" w:rsidR="000A70B3" w:rsidRPr="00117077" w:rsidRDefault="000A70B3" w:rsidP="00891C26">
            <w:pPr>
              <w:keepNext/>
              <w:keepLines/>
              <w:spacing w:line="276" w:lineRule="auto"/>
              <w:ind w:left="567" w:hanging="567"/>
              <w:jc w:val="right"/>
              <w:rPr>
                <w:b/>
                <w:bCs/>
              </w:rPr>
            </w:pPr>
            <w:r w:rsidRPr="00117077">
              <w:rPr>
                <w:b/>
                <w:bCs/>
              </w:rPr>
              <w:t>‘000 лв.</w:t>
            </w:r>
          </w:p>
        </w:tc>
        <w:tc>
          <w:tcPr>
            <w:tcW w:w="1559" w:type="dxa"/>
            <w:tcBorders>
              <w:top w:val="nil"/>
              <w:left w:val="nil"/>
              <w:bottom w:val="nil"/>
              <w:right w:val="nil"/>
            </w:tcBorders>
          </w:tcPr>
          <w:p w14:paraId="623AF985" w14:textId="77777777" w:rsidR="000A70B3" w:rsidRPr="00117077" w:rsidRDefault="000A70B3" w:rsidP="00891C26">
            <w:pPr>
              <w:keepNext/>
              <w:keepLines/>
              <w:spacing w:line="276" w:lineRule="auto"/>
              <w:ind w:left="567" w:hanging="567"/>
              <w:jc w:val="right"/>
              <w:rPr>
                <w:b/>
                <w:bCs/>
              </w:rPr>
            </w:pPr>
            <w:r w:rsidRPr="00117077">
              <w:rPr>
                <w:b/>
                <w:bCs/>
              </w:rPr>
              <w:t>‘000 лв.</w:t>
            </w:r>
          </w:p>
        </w:tc>
      </w:tr>
      <w:tr w:rsidR="000A70B3" w:rsidRPr="00117077" w14:paraId="78FB5DD0" w14:textId="77777777" w:rsidTr="007A5EF4">
        <w:trPr>
          <w:trHeight w:val="181"/>
        </w:trPr>
        <w:tc>
          <w:tcPr>
            <w:tcW w:w="6077" w:type="dxa"/>
            <w:tcBorders>
              <w:top w:val="nil"/>
              <w:left w:val="nil"/>
              <w:bottom w:val="nil"/>
              <w:right w:val="nil"/>
            </w:tcBorders>
          </w:tcPr>
          <w:p w14:paraId="486E6F6E" w14:textId="77777777" w:rsidR="000A70B3" w:rsidRPr="00117077" w:rsidRDefault="000A70B3" w:rsidP="00891C26">
            <w:pPr>
              <w:spacing w:line="276" w:lineRule="auto"/>
            </w:pPr>
            <w:r w:rsidRPr="00117077">
              <w:t>Финансови пасиви, отчитани по амортизирана стойност:</w:t>
            </w:r>
          </w:p>
        </w:tc>
        <w:tc>
          <w:tcPr>
            <w:tcW w:w="160" w:type="dxa"/>
            <w:tcBorders>
              <w:top w:val="nil"/>
              <w:left w:val="nil"/>
              <w:bottom w:val="nil"/>
              <w:right w:val="nil"/>
            </w:tcBorders>
          </w:tcPr>
          <w:p w14:paraId="4FB5B3F7" w14:textId="77777777" w:rsidR="000A70B3" w:rsidRPr="00117077" w:rsidRDefault="000A70B3" w:rsidP="00891C26">
            <w:pPr>
              <w:spacing w:line="276" w:lineRule="auto"/>
              <w:jc w:val="right"/>
            </w:pPr>
          </w:p>
        </w:tc>
        <w:tc>
          <w:tcPr>
            <w:tcW w:w="1276" w:type="dxa"/>
            <w:tcBorders>
              <w:left w:val="nil"/>
              <w:bottom w:val="nil"/>
              <w:right w:val="nil"/>
            </w:tcBorders>
            <w:vAlign w:val="bottom"/>
          </w:tcPr>
          <w:p w14:paraId="08C5DEE1" w14:textId="77777777" w:rsidR="000A70B3" w:rsidRPr="00117077" w:rsidRDefault="000A70B3" w:rsidP="00891C26">
            <w:pPr>
              <w:spacing w:line="276" w:lineRule="auto"/>
            </w:pPr>
          </w:p>
        </w:tc>
        <w:tc>
          <w:tcPr>
            <w:tcW w:w="1559" w:type="dxa"/>
            <w:tcBorders>
              <w:left w:val="nil"/>
              <w:bottom w:val="nil"/>
              <w:right w:val="nil"/>
            </w:tcBorders>
            <w:vAlign w:val="bottom"/>
          </w:tcPr>
          <w:p w14:paraId="2A04108B" w14:textId="77777777" w:rsidR="000A70B3" w:rsidRPr="00117077" w:rsidRDefault="000A70B3" w:rsidP="00891C26">
            <w:pPr>
              <w:spacing w:line="276" w:lineRule="auto"/>
            </w:pPr>
          </w:p>
        </w:tc>
      </w:tr>
      <w:tr w:rsidR="000A70B3" w:rsidRPr="00117077" w14:paraId="061364F9" w14:textId="77777777" w:rsidTr="007A5EF4">
        <w:trPr>
          <w:trHeight w:val="68"/>
        </w:trPr>
        <w:tc>
          <w:tcPr>
            <w:tcW w:w="6077" w:type="dxa"/>
            <w:tcBorders>
              <w:top w:val="nil"/>
              <w:left w:val="nil"/>
              <w:bottom w:val="nil"/>
              <w:right w:val="nil"/>
            </w:tcBorders>
          </w:tcPr>
          <w:p w14:paraId="5E4AF30A" w14:textId="77777777" w:rsidR="000A70B3" w:rsidRPr="00117077" w:rsidRDefault="000A70B3" w:rsidP="00891C26">
            <w:pPr>
              <w:spacing w:line="276" w:lineRule="auto"/>
            </w:pPr>
            <w:r w:rsidRPr="00117077">
              <w:t>Нетекущи пасиви:</w:t>
            </w:r>
          </w:p>
        </w:tc>
        <w:tc>
          <w:tcPr>
            <w:tcW w:w="160" w:type="dxa"/>
            <w:tcBorders>
              <w:top w:val="nil"/>
              <w:left w:val="nil"/>
              <w:bottom w:val="nil"/>
              <w:right w:val="nil"/>
            </w:tcBorders>
          </w:tcPr>
          <w:p w14:paraId="7C5AB7D9" w14:textId="77777777" w:rsidR="000A70B3" w:rsidRPr="00117077" w:rsidRDefault="000A70B3" w:rsidP="00891C26">
            <w:pPr>
              <w:spacing w:line="276" w:lineRule="auto"/>
              <w:jc w:val="right"/>
            </w:pPr>
          </w:p>
        </w:tc>
        <w:tc>
          <w:tcPr>
            <w:tcW w:w="1276" w:type="dxa"/>
            <w:tcBorders>
              <w:top w:val="nil"/>
              <w:left w:val="nil"/>
              <w:bottom w:val="nil"/>
              <w:right w:val="nil"/>
            </w:tcBorders>
          </w:tcPr>
          <w:p w14:paraId="3F4BEB48" w14:textId="77777777" w:rsidR="000A70B3" w:rsidRPr="00117077" w:rsidRDefault="000A70B3" w:rsidP="00891C26">
            <w:pPr>
              <w:spacing w:line="276" w:lineRule="auto"/>
              <w:jc w:val="right"/>
            </w:pPr>
          </w:p>
        </w:tc>
        <w:tc>
          <w:tcPr>
            <w:tcW w:w="1559" w:type="dxa"/>
            <w:tcBorders>
              <w:top w:val="nil"/>
              <w:left w:val="nil"/>
              <w:bottom w:val="nil"/>
              <w:right w:val="nil"/>
            </w:tcBorders>
          </w:tcPr>
          <w:p w14:paraId="5E8DEEEA" w14:textId="77777777" w:rsidR="000A70B3" w:rsidRPr="00117077" w:rsidRDefault="000A70B3" w:rsidP="00891C26">
            <w:pPr>
              <w:spacing w:line="276" w:lineRule="auto"/>
              <w:jc w:val="right"/>
            </w:pPr>
          </w:p>
        </w:tc>
      </w:tr>
      <w:tr w:rsidR="000A70B3" w:rsidRPr="00117077" w14:paraId="4B641E2E" w14:textId="77777777" w:rsidTr="007A5EF4">
        <w:trPr>
          <w:trHeight w:val="192"/>
        </w:trPr>
        <w:tc>
          <w:tcPr>
            <w:tcW w:w="6077" w:type="dxa"/>
            <w:tcBorders>
              <w:top w:val="nil"/>
              <w:left w:val="nil"/>
              <w:bottom w:val="nil"/>
              <w:right w:val="nil"/>
            </w:tcBorders>
          </w:tcPr>
          <w:p w14:paraId="309A15EF" w14:textId="77777777" w:rsidR="000A70B3" w:rsidRPr="00117077" w:rsidRDefault="000A70B3" w:rsidP="00891C26">
            <w:pPr>
              <w:spacing w:line="276" w:lineRule="auto"/>
            </w:pPr>
            <w:r w:rsidRPr="00117077">
              <w:t xml:space="preserve">   Други задължения</w:t>
            </w:r>
            <w:r w:rsidRPr="00117077" w:rsidDel="00FF0D8E">
              <w:t xml:space="preserve"> </w:t>
            </w:r>
          </w:p>
        </w:tc>
        <w:tc>
          <w:tcPr>
            <w:tcW w:w="160" w:type="dxa"/>
            <w:tcBorders>
              <w:top w:val="nil"/>
              <w:left w:val="nil"/>
              <w:right w:val="nil"/>
            </w:tcBorders>
          </w:tcPr>
          <w:p w14:paraId="22483CFB" w14:textId="77777777" w:rsidR="000A70B3" w:rsidRPr="00117077" w:rsidRDefault="000A70B3" w:rsidP="00891C26">
            <w:pPr>
              <w:keepNext/>
              <w:keepLines/>
              <w:spacing w:line="276" w:lineRule="auto"/>
              <w:ind w:left="567" w:hanging="567"/>
              <w:jc w:val="right"/>
            </w:pPr>
          </w:p>
        </w:tc>
        <w:tc>
          <w:tcPr>
            <w:tcW w:w="1276" w:type="dxa"/>
            <w:tcBorders>
              <w:top w:val="nil"/>
              <w:left w:val="nil"/>
              <w:bottom w:val="nil"/>
              <w:right w:val="nil"/>
            </w:tcBorders>
          </w:tcPr>
          <w:p w14:paraId="485823C7" w14:textId="77777777" w:rsidR="000A70B3" w:rsidRPr="00117077" w:rsidRDefault="000A70B3" w:rsidP="00891C26">
            <w:pPr>
              <w:keepNext/>
              <w:keepLines/>
              <w:spacing w:line="276" w:lineRule="auto"/>
              <w:ind w:left="567" w:hanging="567"/>
              <w:jc w:val="right"/>
            </w:pPr>
            <w:r w:rsidRPr="000A70B3">
              <w:t>27,219</w:t>
            </w:r>
          </w:p>
        </w:tc>
        <w:tc>
          <w:tcPr>
            <w:tcW w:w="1559" w:type="dxa"/>
            <w:tcBorders>
              <w:top w:val="nil"/>
              <w:left w:val="nil"/>
              <w:bottom w:val="nil"/>
              <w:right w:val="nil"/>
            </w:tcBorders>
          </w:tcPr>
          <w:p w14:paraId="786164C7" w14:textId="77777777" w:rsidR="000A70B3" w:rsidRPr="00117077" w:rsidRDefault="000A70B3" w:rsidP="00891C26">
            <w:pPr>
              <w:keepNext/>
              <w:keepLines/>
              <w:spacing w:line="276" w:lineRule="auto"/>
              <w:ind w:left="567" w:hanging="567"/>
              <w:jc w:val="right"/>
            </w:pPr>
            <w:r w:rsidRPr="00BD461C">
              <w:t>31,163</w:t>
            </w:r>
          </w:p>
        </w:tc>
      </w:tr>
      <w:tr w:rsidR="000A70B3" w:rsidRPr="00117077" w14:paraId="3A53D9F7" w14:textId="77777777" w:rsidTr="007A5EF4">
        <w:trPr>
          <w:trHeight w:val="181"/>
        </w:trPr>
        <w:tc>
          <w:tcPr>
            <w:tcW w:w="6077" w:type="dxa"/>
            <w:tcBorders>
              <w:top w:val="nil"/>
              <w:left w:val="nil"/>
              <w:bottom w:val="nil"/>
              <w:right w:val="nil"/>
            </w:tcBorders>
          </w:tcPr>
          <w:p w14:paraId="5AE6962A" w14:textId="77777777" w:rsidR="000A70B3" w:rsidRPr="00117077" w:rsidRDefault="000A70B3" w:rsidP="00891C26">
            <w:pPr>
              <w:spacing w:line="276" w:lineRule="auto"/>
            </w:pPr>
            <w:r w:rsidRPr="00117077">
              <w:t>Текущи пасиви:</w:t>
            </w:r>
          </w:p>
        </w:tc>
        <w:tc>
          <w:tcPr>
            <w:tcW w:w="160" w:type="dxa"/>
            <w:tcBorders>
              <w:top w:val="nil"/>
              <w:left w:val="nil"/>
              <w:bottom w:val="nil"/>
              <w:right w:val="nil"/>
            </w:tcBorders>
          </w:tcPr>
          <w:p w14:paraId="5B1B9FB9" w14:textId="77777777" w:rsidR="000A70B3" w:rsidRPr="00117077" w:rsidRDefault="000A70B3" w:rsidP="00891C26">
            <w:pPr>
              <w:spacing w:line="276" w:lineRule="auto"/>
              <w:jc w:val="right"/>
            </w:pPr>
          </w:p>
        </w:tc>
        <w:tc>
          <w:tcPr>
            <w:tcW w:w="1276" w:type="dxa"/>
            <w:tcBorders>
              <w:top w:val="nil"/>
              <w:left w:val="nil"/>
              <w:bottom w:val="nil"/>
              <w:right w:val="nil"/>
            </w:tcBorders>
          </w:tcPr>
          <w:p w14:paraId="4DCB6D93" w14:textId="77777777" w:rsidR="000A70B3" w:rsidRPr="00117077" w:rsidRDefault="000A70B3" w:rsidP="00891C26">
            <w:pPr>
              <w:spacing w:line="276" w:lineRule="auto"/>
              <w:jc w:val="right"/>
            </w:pPr>
          </w:p>
        </w:tc>
        <w:tc>
          <w:tcPr>
            <w:tcW w:w="1559" w:type="dxa"/>
            <w:tcBorders>
              <w:top w:val="nil"/>
              <w:left w:val="nil"/>
              <w:bottom w:val="nil"/>
              <w:right w:val="nil"/>
            </w:tcBorders>
          </w:tcPr>
          <w:p w14:paraId="1037736D" w14:textId="77777777" w:rsidR="000A70B3" w:rsidRPr="00117077" w:rsidRDefault="000A70B3" w:rsidP="00891C26">
            <w:pPr>
              <w:spacing w:line="276" w:lineRule="auto"/>
              <w:jc w:val="right"/>
            </w:pPr>
          </w:p>
        </w:tc>
      </w:tr>
      <w:tr w:rsidR="000A70B3" w:rsidRPr="00117077" w14:paraId="7E660A3E" w14:textId="77777777" w:rsidTr="007A5EF4">
        <w:trPr>
          <w:trHeight w:val="181"/>
        </w:trPr>
        <w:tc>
          <w:tcPr>
            <w:tcW w:w="6077" w:type="dxa"/>
            <w:tcBorders>
              <w:top w:val="nil"/>
              <w:left w:val="nil"/>
              <w:bottom w:val="nil"/>
              <w:right w:val="nil"/>
            </w:tcBorders>
          </w:tcPr>
          <w:p w14:paraId="3DDDA981" w14:textId="77777777" w:rsidR="000A70B3" w:rsidRPr="00117077" w:rsidRDefault="000A70B3" w:rsidP="00891C26">
            <w:pPr>
              <w:spacing w:line="276" w:lineRule="auto"/>
            </w:pPr>
            <w:r w:rsidRPr="00117077">
              <w:t xml:space="preserve">   Заеми</w:t>
            </w:r>
          </w:p>
        </w:tc>
        <w:tc>
          <w:tcPr>
            <w:tcW w:w="160" w:type="dxa"/>
            <w:tcBorders>
              <w:top w:val="nil"/>
              <w:left w:val="nil"/>
              <w:bottom w:val="nil"/>
              <w:right w:val="nil"/>
            </w:tcBorders>
          </w:tcPr>
          <w:p w14:paraId="7BBC8C5B" w14:textId="77777777" w:rsidR="000A70B3" w:rsidRPr="00117077" w:rsidRDefault="000A70B3" w:rsidP="00891C26">
            <w:pPr>
              <w:keepNext/>
              <w:keepLines/>
              <w:spacing w:line="276" w:lineRule="auto"/>
              <w:ind w:left="567" w:hanging="567"/>
              <w:jc w:val="right"/>
            </w:pPr>
          </w:p>
        </w:tc>
        <w:tc>
          <w:tcPr>
            <w:tcW w:w="1276" w:type="dxa"/>
            <w:tcBorders>
              <w:top w:val="nil"/>
              <w:left w:val="nil"/>
              <w:right w:val="nil"/>
            </w:tcBorders>
          </w:tcPr>
          <w:p w14:paraId="0B617EBD" w14:textId="17FD16AA" w:rsidR="000A70B3" w:rsidRPr="00F60BED" w:rsidRDefault="00DA1231" w:rsidP="00891C26">
            <w:pPr>
              <w:keepNext/>
              <w:keepLines/>
              <w:spacing w:line="276" w:lineRule="auto"/>
              <w:ind w:left="567" w:hanging="567"/>
              <w:jc w:val="right"/>
              <w:rPr>
                <w:lang w:val="en-US"/>
              </w:rPr>
            </w:pPr>
            <w:r w:rsidRPr="00F60BED">
              <w:rPr>
                <w:lang w:val="en-US"/>
              </w:rPr>
              <w:t>-</w:t>
            </w:r>
          </w:p>
        </w:tc>
        <w:tc>
          <w:tcPr>
            <w:tcW w:w="1559" w:type="dxa"/>
            <w:tcBorders>
              <w:top w:val="nil"/>
              <w:left w:val="nil"/>
              <w:right w:val="nil"/>
            </w:tcBorders>
          </w:tcPr>
          <w:p w14:paraId="3647DFEB" w14:textId="77777777" w:rsidR="000A70B3" w:rsidRPr="00F60BED" w:rsidRDefault="000A70B3" w:rsidP="00891C26">
            <w:pPr>
              <w:keepNext/>
              <w:keepLines/>
              <w:spacing w:line="276" w:lineRule="auto"/>
              <w:ind w:left="567" w:hanging="567"/>
              <w:jc w:val="right"/>
              <w:rPr>
                <w:lang w:val="en-US"/>
              </w:rPr>
            </w:pPr>
            <w:r w:rsidRPr="002A67C6">
              <w:t>1,854</w:t>
            </w:r>
          </w:p>
        </w:tc>
      </w:tr>
      <w:tr w:rsidR="000A70B3" w:rsidRPr="00117077" w14:paraId="3193E0A5" w14:textId="77777777" w:rsidTr="007A5EF4">
        <w:trPr>
          <w:trHeight w:val="181"/>
        </w:trPr>
        <w:tc>
          <w:tcPr>
            <w:tcW w:w="6077" w:type="dxa"/>
            <w:tcBorders>
              <w:top w:val="nil"/>
              <w:left w:val="nil"/>
              <w:bottom w:val="nil"/>
              <w:right w:val="nil"/>
            </w:tcBorders>
          </w:tcPr>
          <w:p w14:paraId="2BA3DE7E" w14:textId="77777777" w:rsidR="000A70B3" w:rsidRPr="00117077" w:rsidRDefault="000A70B3" w:rsidP="00891C26">
            <w:pPr>
              <w:spacing w:line="276" w:lineRule="auto"/>
            </w:pPr>
            <w:r w:rsidRPr="00117077">
              <w:t xml:space="preserve">   Търговски и други задължения</w:t>
            </w:r>
          </w:p>
        </w:tc>
        <w:tc>
          <w:tcPr>
            <w:tcW w:w="160" w:type="dxa"/>
            <w:tcBorders>
              <w:top w:val="nil"/>
              <w:left w:val="nil"/>
              <w:bottom w:val="nil"/>
              <w:right w:val="nil"/>
            </w:tcBorders>
          </w:tcPr>
          <w:p w14:paraId="489B45E4" w14:textId="77777777" w:rsidR="000A70B3" w:rsidRPr="00117077" w:rsidRDefault="000A70B3" w:rsidP="00891C26">
            <w:pPr>
              <w:keepNext/>
              <w:keepLines/>
              <w:spacing w:line="276" w:lineRule="auto"/>
              <w:ind w:left="567" w:hanging="567"/>
              <w:jc w:val="right"/>
            </w:pPr>
          </w:p>
        </w:tc>
        <w:tc>
          <w:tcPr>
            <w:tcW w:w="1276" w:type="dxa"/>
            <w:tcBorders>
              <w:top w:val="nil"/>
              <w:left w:val="nil"/>
              <w:right w:val="nil"/>
            </w:tcBorders>
          </w:tcPr>
          <w:p w14:paraId="07D50590" w14:textId="0263BA6F" w:rsidR="000A70B3" w:rsidRPr="002271DF" w:rsidRDefault="000A70B3" w:rsidP="00891C26">
            <w:pPr>
              <w:keepNext/>
              <w:keepLines/>
              <w:spacing w:line="276" w:lineRule="auto"/>
              <w:ind w:left="567" w:hanging="567"/>
              <w:jc w:val="right"/>
              <w:rPr>
                <w:highlight w:val="yellow"/>
                <w:lang w:val="en-US"/>
              </w:rPr>
            </w:pPr>
            <w:r w:rsidRPr="00BD461C">
              <w:t>1</w:t>
            </w:r>
            <w:r>
              <w:t>0</w:t>
            </w:r>
            <w:r w:rsidRPr="00BD461C">
              <w:t>,</w:t>
            </w:r>
            <w:r>
              <w:t>3</w:t>
            </w:r>
            <w:r w:rsidR="00CF3C8E">
              <w:rPr>
                <w:lang w:val="en-US"/>
              </w:rPr>
              <w:t>93</w:t>
            </w:r>
          </w:p>
        </w:tc>
        <w:tc>
          <w:tcPr>
            <w:tcW w:w="1559" w:type="dxa"/>
            <w:tcBorders>
              <w:top w:val="nil"/>
              <w:left w:val="nil"/>
              <w:right w:val="nil"/>
            </w:tcBorders>
          </w:tcPr>
          <w:p w14:paraId="12430E9A" w14:textId="77777777" w:rsidR="000A70B3" w:rsidRPr="002271DF" w:rsidRDefault="000A70B3" w:rsidP="00891C26">
            <w:pPr>
              <w:keepNext/>
              <w:keepLines/>
              <w:spacing w:line="276" w:lineRule="auto"/>
              <w:ind w:left="567" w:hanging="567"/>
              <w:jc w:val="right"/>
              <w:rPr>
                <w:highlight w:val="yellow"/>
                <w:lang w:val="en-US"/>
              </w:rPr>
            </w:pPr>
            <w:r w:rsidRPr="00BD461C">
              <w:t>1</w:t>
            </w:r>
            <w:r>
              <w:rPr>
                <w:lang w:val="en-US"/>
              </w:rPr>
              <w:t>3</w:t>
            </w:r>
            <w:r w:rsidRPr="00BD461C">
              <w:t>,</w:t>
            </w:r>
            <w:r>
              <w:rPr>
                <w:lang w:val="en-US"/>
              </w:rPr>
              <w:t>475</w:t>
            </w:r>
          </w:p>
        </w:tc>
      </w:tr>
      <w:tr w:rsidR="000A70B3" w:rsidRPr="00117077" w14:paraId="6E707F1D" w14:textId="77777777" w:rsidTr="007A5EF4">
        <w:trPr>
          <w:trHeight w:val="181"/>
        </w:trPr>
        <w:tc>
          <w:tcPr>
            <w:tcW w:w="6077" w:type="dxa"/>
            <w:tcBorders>
              <w:top w:val="nil"/>
              <w:left w:val="nil"/>
              <w:bottom w:val="nil"/>
              <w:right w:val="nil"/>
            </w:tcBorders>
          </w:tcPr>
          <w:p w14:paraId="111DE459" w14:textId="77777777" w:rsidR="000A70B3" w:rsidRPr="00117077" w:rsidRDefault="000A70B3" w:rsidP="00891C26">
            <w:pPr>
              <w:spacing w:line="276" w:lineRule="auto"/>
            </w:pPr>
            <w:r w:rsidRPr="00117077">
              <w:t>Финансови пасиви</w:t>
            </w:r>
          </w:p>
        </w:tc>
        <w:tc>
          <w:tcPr>
            <w:tcW w:w="160" w:type="dxa"/>
            <w:tcBorders>
              <w:left w:val="nil"/>
              <w:right w:val="nil"/>
            </w:tcBorders>
          </w:tcPr>
          <w:p w14:paraId="42CDEBF8" w14:textId="77777777" w:rsidR="000A70B3" w:rsidRPr="00117077" w:rsidRDefault="000A70B3" w:rsidP="00891C26">
            <w:pPr>
              <w:spacing w:line="276" w:lineRule="auto"/>
              <w:jc w:val="right"/>
              <w:rPr>
                <w:b/>
              </w:rPr>
            </w:pPr>
          </w:p>
        </w:tc>
        <w:tc>
          <w:tcPr>
            <w:tcW w:w="1276" w:type="dxa"/>
            <w:tcBorders>
              <w:top w:val="single" w:sz="2" w:space="0" w:color="auto"/>
              <w:left w:val="nil"/>
              <w:bottom w:val="double" w:sz="4" w:space="0" w:color="auto"/>
              <w:right w:val="nil"/>
            </w:tcBorders>
          </w:tcPr>
          <w:p w14:paraId="70E2676D" w14:textId="46F3F24A" w:rsidR="000A70B3" w:rsidRPr="00CF3C8E" w:rsidRDefault="000A70B3" w:rsidP="00891C26">
            <w:pPr>
              <w:keepNext/>
              <w:keepLines/>
              <w:spacing w:line="276" w:lineRule="auto"/>
              <w:ind w:left="567" w:hanging="567"/>
              <w:jc w:val="right"/>
              <w:rPr>
                <w:b/>
                <w:bCs/>
                <w:highlight w:val="yellow"/>
                <w:lang w:val="en-US"/>
              </w:rPr>
            </w:pPr>
            <w:r>
              <w:rPr>
                <w:b/>
                <w:bCs/>
              </w:rPr>
              <w:t>37</w:t>
            </w:r>
            <w:r w:rsidRPr="00C101D7">
              <w:rPr>
                <w:b/>
                <w:bCs/>
              </w:rPr>
              <w:t>,</w:t>
            </w:r>
            <w:r w:rsidR="00CF3C8E">
              <w:rPr>
                <w:b/>
                <w:bCs/>
                <w:lang w:val="en-US"/>
              </w:rPr>
              <w:t>612</w:t>
            </w:r>
          </w:p>
        </w:tc>
        <w:tc>
          <w:tcPr>
            <w:tcW w:w="1559" w:type="dxa"/>
            <w:tcBorders>
              <w:top w:val="single" w:sz="2" w:space="0" w:color="auto"/>
              <w:left w:val="nil"/>
              <w:bottom w:val="double" w:sz="4" w:space="0" w:color="auto"/>
              <w:right w:val="nil"/>
            </w:tcBorders>
          </w:tcPr>
          <w:p w14:paraId="38A6B4BD" w14:textId="77777777" w:rsidR="000A70B3" w:rsidRPr="002271DF" w:rsidRDefault="000A70B3" w:rsidP="00891C26">
            <w:pPr>
              <w:keepNext/>
              <w:keepLines/>
              <w:spacing w:line="276" w:lineRule="auto"/>
              <w:ind w:left="567" w:hanging="567"/>
              <w:jc w:val="right"/>
              <w:rPr>
                <w:b/>
                <w:bCs/>
                <w:highlight w:val="yellow"/>
                <w:lang w:val="en-US"/>
              </w:rPr>
            </w:pPr>
            <w:r w:rsidRPr="00C101D7">
              <w:rPr>
                <w:b/>
                <w:bCs/>
              </w:rPr>
              <w:t>4</w:t>
            </w:r>
            <w:r>
              <w:rPr>
                <w:b/>
                <w:bCs/>
                <w:lang w:val="en-US"/>
              </w:rPr>
              <w:t>6</w:t>
            </w:r>
            <w:r w:rsidRPr="00C101D7">
              <w:rPr>
                <w:b/>
                <w:bCs/>
              </w:rPr>
              <w:t>,</w:t>
            </w:r>
            <w:r>
              <w:rPr>
                <w:b/>
                <w:bCs/>
                <w:lang w:val="en-US"/>
              </w:rPr>
              <w:t>492</w:t>
            </w:r>
          </w:p>
        </w:tc>
      </w:tr>
    </w:tbl>
    <w:p w14:paraId="0BA11EE1" w14:textId="25B9BCED" w:rsidR="00887430" w:rsidRPr="00C67CA3" w:rsidRDefault="00887430" w:rsidP="00891C26">
      <w:pPr>
        <w:pStyle w:val="BodyText"/>
        <w:spacing w:line="276" w:lineRule="auto"/>
        <w:ind w:firstLine="851"/>
        <w:jc w:val="both"/>
      </w:pPr>
      <w:r w:rsidRPr="00C67CA3">
        <w:lastRenderedPageBreak/>
        <w:t>„Водоснабдяване и канализация” ЕАД, гр. Бургас не е използвало</w:t>
      </w:r>
      <w:r w:rsidR="00AE380B">
        <w:t xml:space="preserve"> финансови инструменти през 201</w:t>
      </w:r>
      <w:r w:rsidR="002762CF">
        <w:t>9</w:t>
      </w:r>
      <w:r w:rsidRPr="00C67CA3">
        <w:t xml:space="preserve"> г. за хеджиране на рискове от промяна на валутни  курсове, лихвени нива или парични потоци. През отчетната година дружеството не е извършвало  сделки за хеджиране на валутен риск, тъй като няма сделки в USD или други валути с плаващ спрямо лева курс.</w:t>
      </w:r>
    </w:p>
    <w:p w14:paraId="3F2A4D3E" w14:textId="77777777" w:rsidR="00887430" w:rsidRPr="00C67CA3" w:rsidRDefault="00887430" w:rsidP="00891C26">
      <w:pPr>
        <w:pStyle w:val="BodyText"/>
        <w:spacing w:line="276" w:lineRule="auto"/>
        <w:ind w:firstLine="851"/>
        <w:jc w:val="both"/>
      </w:pPr>
      <w:r w:rsidRPr="00C67CA3">
        <w:t>Дружеството би могло да има експозиция към ликвиден, пазарен, лихвен, валутен и оперативен рискове, възникващи от употребата на финансови инструменти.</w:t>
      </w:r>
    </w:p>
    <w:p w14:paraId="0278FFDB" w14:textId="77777777" w:rsidR="001F37A6" w:rsidRPr="001D6BDE" w:rsidRDefault="001F37A6" w:rsidP="00891C26">
      <w:pPr>
        <w:pStyle w:val="ListParagraph"/>
        <w:widowControl/>
        <w:numPr>
          <w:ilvl w:val="0"/>
          <w:numId w:val="30"/>
        </w:numPr>
        <w:tabs>
          <w:tab w:val="left" w:pos="851"/>
        </w:tabs>
        <w:autoSpaceDE/>
        <w:autoSpaceDN/>
        <w:adjustRightInd/>
        <w:spacing w:after="240" w:line="276" w:lineRule="auto"/>
        <w:ind w:left="851" w:hanging="284"/>
        <w:jc w:val="both"/>
        <w:rPr>
          <w:b/>
          <w:lang w:eastAsia="en-US"/>
        </w:rPr>
      </w:pPr>
      <w:r w:rsidRPr="00C67CA3">
        <w:rPr>
          <w:b/>
        </w:rPr>
        <w:t>Информацията</w:t>
      </w:r>
      <w:r w:rsidRPr="00C67CA3">
        <w:rPr>
          <w:b/>
          <w:bCs/>
          <w:color w:val="000000"/>
          <w:szCs w:val="40"/>
          <w:lang w:eastAsia="en-US"/>
        </w:rPr>
        <w:t xml:space="preserve"> съгласно  изискванията на чл. 187 д от Търговския закон</w:t>
      </w:r>
    </w:p>
    <w:p w14:paraId="43A1270C" w14:textId="77777777" w:rsidR="001F37A6" w:rsidRPr="00C67CA3" w:rsidRDefault="001F37A6" w:rsidP="00891C26">
      <w:pPr>
        <w:pStyle w:val="ListParagraph"/>
        <w:widowControl/>
        <w:numPr>
          <w:ilvl w:val="1"/>
          <w:numId w:val="30"/>
        </w:numPr>
        <w:tabs>
          <w:tab w:val="left" w:pos="1134"/>
        </w:tabs>
        <w:autoSpaceDE/>
        <w:autoSpaceDN/>
        <w:adjustRightInd/>
        <w:spacing w:after="240" w:line="276" w:lineRule="auto"/>
        <w:ind w:left="1134" w:hanging="283"/>
        <w:jc w:val="both"/>
        <w:rPr>
          <w:b/>
        </w:rPr>
      </w:pPr>
      <w:r w:rsidRPr="00C67CA3">
        <w:rPr>
          <w:b/>
        </w:rPr>
        <w:t>Придобитите, притежаваните и прехвърлените от членовете на съветите през годината акции и облигации на дружеството</w:t>
      </w:r>
    </w:p>
    <w:p w14:paraId="1863C5F6" w14:textId="77777777" w:rsidR="001F37A6" w:rsidRDefault="001F37A6" w:rsidP="00891C26">
      <w:pPr>
        <w:pStyle w:val="BodyText"/>
        <w:spacing w:line="276" w:lineRule="auto"/>
        <w:ind w:firstLine="851"/>
        <w:jc w:val="both"/>
        <w:rPr>
          <w:lang w:eastAsia="en-US"/>
        </w:rPr>
      </w:pPr>
      <w:r w:rsidRPr="00C67CA3">
        <w:rPr>
          <w:lang w:eastAsia="en-US"/>
        </w:rPr>
        <w:t>Към 31.12.</w:t>
      </w:r>
      <w:r w:rsidR="00776202">
        <w:t>201</w:t>
      </w:r>
      <w:r w:rsidR="002762CF">
        <w:t>9</w:t>
      </w:r>
      <w:r w:rsidRPr="00C67CA3">
        <w:rPr>
          <w:lang w:eastAsia="en-US"/>
        </w:rPr>
        <w:t xml:space="preserve"> г. членовете на Съвета на директорите на дружеството не притежават акции от </w:t>
      </w:r>
      <w:r w:rsidRPr="00C67CA3">
        <w:t>капитала</w:t>
      </w:r>
      <w:r w:rsidRPr="00C67CA3">
        <w:rPr>
          <w:lang w:eastAsia="en-US"/>
        </w:rPr>
        <w:t xml:space="preserve"> на дружеството. Едноличен собственик на капитала на </w:t>
      </w:r>
      <w:r w:rsidR="00A17037" w:rsidRPr="00C67CA3">
        <w:rPr>
          <w:lang w:eastAsia="en-US"/>
        </w:rPr>
        <w:t>„Водоснабдяване и канализация” ЕАД, гр. Бургас</w:t>
      </w:r>
      <w:r w:rsidRPr="00C67CA3">
        <w:rPr>
          <w:lang w:eastAsia="en-US"/>
        </w:rPr>
        <w:t xml:space="preserve"> е </w:t>
      </w:r>
      <w:r w:rsidR="00A17037" w:rsidRPr="00C67CA3">
        <w:rPr>
          <w:lang w:eastAsia="en-US"/>
        </w:rPr>
        <w:t>Министерството на регионалното развитие и благоустройството</w:t>
      </w:r>
      <w:r w:rsidRPr="00C67CA3">
        <w:rPr>
          <w:lang w:eastAsia="en-US"/>
        </w:rPr>
        <w:t>.</w:t>
      </w:r>
    </w:p>
    <w:p w14:paraId="46AE3699" w14:textId="77777777" w:rsidR="00252368" w:rsidRPr="00C67CA3" w:rsidRDefault="00252368" w:rsidP="00891C26">
      <w:pPr>
        <w:pStyle w:val="BodyText"/>
        <w:spacing w:line="276" w:lineRule="auto"/>
        <w:ind w:firstLine="851"/>
        <w:jc w:val="both"/>
        <w:rPr>
          <w:lang w:eastAsia="en-US"/>
        </w:rPr>
      </w:pPr>
    </w:p>
    <w:p w14:paraId="24716952" w14:textId="77777777" w:rsidR="001F37A6" w:rsidRPr="00C67CA3" w:rsidRDefault="001F37A6" w:rsidP="00891C26">
      <w:pPr>
        <w:pStyle w:val="ListParagraph"/>
        <w:widowControl/>
        <w:numPr>
          <w:ilvl w:val="1"/>
          <w:numId w:val="30"/>
        </w:numPr>
        <w:tabs>
          <w:tab w:val="left" w:pos="1134"/>
        </w:tabs>
        <w:autoSpaceDE/>
        <w:autoSpaceDN/>
        <w:adjustRightInd/>
        <w:spacing w:after="240" w:line="276" w:lineRule="auto"/>
        <w:ind w:left="1134" w:hanging="283"/>
        <w:jc w:val="both"/>
        <w:rPr>
          <w:b/>
        </w:rPr>
      </w:pPr>
      <w:r w:rsidRPr="00C67CA3">
        <w:rPr>
          <w:b/>
        </w:rPr>
        <w:t>Правата на членовете на съветите да придобиват акции и облигации на дружеството</w:t>
      </w:r>
    </w:p>
    <w:p w14:paraId="2DE22B2F" w14:textId="77777777" w:rsidR="001F37A6" w:rsidRDefault="00A17037" w:rsidP="00891C26">
      <w:pPr>
        <w:pStyle w:val="BodyText"/>
        <w:spacing w:line="276" w:lineRule="auto"/>
        <w:ind w:firstLine="851"/>
        <w:jc w:val="both"/>
        <w:rPr>
          <w:lang w:eastAsia="en-US"/>
        </w:rPr>
      </w:pPr>
      <w:r w:rsidRPr="00C67CA3">
        <w:rPr>
          <w:lang w:eastAsia="en-US"/>
        </w:rPr>
        <w:t>„Водоснабдяване и канализация” ЕАД, гр. Бургас</w:t>
      </w:r>
      <w:r w:rsidR="001F37A6" w:rsidRPr="00C67CA3">
        <w:rPr>
          <w:lang w:eastAsia="en-US"/>
        </w:rPr>
        <w:t xml:space="preserve"> е едно</w:t>
      </w:r>
      <w:r w:rsidRPr="00C67CA3">
        <w:rPr>
          <w:lang w:eastAsia="en-US"/>
        </w:rPr>
        <w:t>лично акционерно дружество, 100</w:t>
      </w:r>
      <w:r w:rsidR="001F37A6" w:rsidRPr="00C67CA3">
        <w:rPr>
          <w:lang w:eastAsia="en-US"/>
        </w:rPr>
        <w:t xml:space="preserve">% собственост на </w:t>
      </w:r>
      <w:r w:rsidRPr="00C67CA3">
        <w:rPr>
          <w:lang w:eastAsia="en-US"/>
        </w:rPr>
        <w:t>Министерството на регионалното развитие и благоустройството</w:t>
      </w:r>
      <w:r w:rsidR="001F37A6" w:rsidRPr="00C67CA3">
        <w:rPr>
          <w:lang w:eastAsia="en-US"/>
        </w:rPr>
        <w:t>.</w:t>
      </w:r>
    </w:p>
    <w:p w14:paraId="589F6CFC" w14:textId="77777777" w:rsidR="00252368" w:rsidRPr="00C67CA3" w:rsidRDefault="00252368" w:rsidP="00891C26">
      <w:pPr>
        <w:pStyle w:val="BodyText"/>
        <w:spacing w:line="276" w:lineRule="auto"/>
        <w:ind w:firstLine="851"/>
        <w:jc w:val="both"/>
        <w:rPr>
          <w:lang w:eastAsia="en-US"/>
        </w:rPr>
      </w:pPr>
    </w:p>
    <w:p w14:paraId="7724E140" w14:textId="77777777" w:rsidR="001F37A6" w:rsidRPr="00C67CA3" w:rsidRDefault="001F37A6" w:rsidP="00891C26">
      <w:pPr>
        <w:pStyle w:val="ListParagraph"/>
        <w:widowControl/>
        <w:numPr>
          <w:ilvl w:val="1"/>
          <w:numId w:val="30"/>
        </w:numPr>
        <w:tabs>
          <w:tab w:val="left" w:pos="1134"/>
        </w:tabs>
        <w:autoSpaceDE/>
        <w:autoSpaceDN/>
        <w:adjustRightInd/>
        <w:spacing w:after="240" w:line="276" w:lineRule="auto"/>
        <w:ind w:left="1134" w:hanging="283"/>
        <w:jc w:val="both"/>
        <w:rPr>
          <w:b/>
        </w:rPr>
      </w:pPr>
      <w:r w:rsidRPr="00C67CA3">
        <w:rPr>
          <w:b/>
        </w:rPr>
        <w:t xml:space="preserve">Участието на членовете на съветите в търговски дружества като неограничено отговорни съдружници, притежаването на повече от 25 на сто от капитала на друго дружество, както и участието им в управлението на други дружества или кооперации като прокуристи, управители или </w:t>
      </w:r>
      <w:r w:rsidR="00766BDB">
        <w:rPr>
          <w:b/>
        </w:rPr>
        <w:t>членове на съвети към 31.12.201</w:t>
      </w:r>
      <w:r w:rsidR="002762CF">
        <w:rPr>
          <w:b/>
        </w:rPr>
        <w:t>9</w:t>
      </w:r>
      <w:r w:rsidRPr="00C67CA3">
        <w:rPr>
          <w:b/>
        </w:rPr>
        <w:t xml:space="preserve"> г.</w:t>
      </w:r>
    </w:p>
    <w:p w14:paraId="5CE24F0E" w14:textId="77777777" w:rsidR="006A5104" w:rsidRPr="00BF33E5" w:rsidRDefault="003D0456" w:rsidP="00891C26">
      <w:pPr>
        <w:pStyle w:val="BodyText"/>
        <w:spacing w:after="0" w:line="276" w:lineRule="auto"/>
        <w:jc w:val="both"/>
        <w:rPr>
          <w:b/>
          <w:lang w:eastAsia="en-US"/>
        </w:rPr>
      </w:pPr>
      <w:r w:rsidRPr="00BF33E5">
        <w:rPr>
          <w:b/>
          <w:lang w:eastAsia="en-US"/>
        </w:rPr>
        <w:t>Ганчо Йовчев Тенев</w:t>
      </w:r>
    </w:p>
    <w:p w14:paraId="70FFC132" w14:textId="77777777" w:rsidR="006A5104" w:rsidRPr="00BF33E5" w:rsidRDefault="00377122" w:rsidP="00891C26">
      <w:pPr>
        <w:pStyle w:val="BodyText"/>
        <w:spacing w:after="0" w:line="276" w:lineRule="auto"/>
        <w:ind w:left="851"/>
        <w:jc w:val="both"/>
        <w:rPr>
          <w:lang w:eastAsia="en-US"/>
        </w:rPr>
      </w:pPr>
      <w:r w:rsidRPr="00BF33E5">
        <w:rPr>
          <w:lang w:eastAsia="en-US"/>
        </w:rPr>
        <w:t>Не участва в други търговски дружества като неограничено отговорен съдружник</w:t>
      </w:r>
      <w:r w:rsidR="006A5104" w:rsidRPr="00BF33E5">
        <w:rPr>
          <w:lang w:eastAsia="en-US"/>
        </w:rPr>
        <w:t>.</w:t>
      </w:r>
    </w:p>
    <w:p w14:paraId="1EA397B2" w14:textId="77777777" w:rsidR="006A5104" w:rsidRPr="00BF33E5" w:rsidRDefault="00377122" w:rsidP="00891C26">
      <w:pPr>
        <w:pStyle w:val="BodyText"/>
        <w:spacing w:after="0" w:line="276" w:lineRule="auto"/>
        <w:ind w:left="851"/>
        <w:jc w:val="both"/>
        <w:rPr>
          <w:lang w:eastAsia="en-US"/>
        </w:rPr>
      </w:pPr>
      <w:r w:rsidRPr="00BF33E5">
        <w:rPr>
          <w:lang w:eastAsia="en-US"/>
        </w:rPr>
        <w:t>Не притежава повече от 25 % от капитала на други търговски дружества.</w:t>
      </w:r>
    </w:p>
    <w:p w14:paraId="04FF5D50" w14:textId="77777777" w:rsidR="00377122" w:rsidRPr="00BF33E5" w:rsidRDefault="00377122" w:rsidP="00891C26">
      <w:pPr>
        <w:pStyle w:val="BodyText"/>
        <w:spacing w:after="0" w:line="276" w:lineRule="auto"/>
        <w:ind w:left="851"/>
        <w:jc w:val="both"/>
        <w:rPr>
          <w:lang w:eastAsia="en-US"/>
        </w:rPr>
      </w:pPr>
      <w:r w:rsidRPr="00BF33E5">
        <w:rPr>
          <w:lang w:eastAsia="en-US"/>
        </w:rPr>
        <w:t>Не участва в управлението като управител или член на съвет на други търговски дружества.</w:t>
      </w:r>
    </w:p>
    <w:p w14:paraId="53AB6AC7" w14:textId="77777777" w:rsidR="00377122" w:rsidRPr="00BF33E5" w:rsidRDefault="00377122" w:rsidP="00891C26">
      <w:pPr>
        <w:pStyle w:val="BodyText"/>
        <w:spacing w:line="276" w:lineRule="auto"/>
        <w:ind w:left="851"/>
        <w:jc w:val="both"/>
        <w:rPr>
          <w:lang w:eastAsia="en-US"/>
        </w:rPr>
      </w:pPr>
      <w:r w:rsidRPr="00BF33E5">
        <w:rPr>
          <w:lang w:eastAsia="en-US"/>
        </w:rPr>
        <w:t>Не участва като прокурист в управлението на други дружества или кооперации.</w:t>
      </w:r>
    </w:p>
    <w:p w14:paraId="722C2E47" w14:textId="77777777" w:rsidR="006A5104" w:rsidRPr="00BF33E5" w:rsidRDefault="00377122" w:rsidP="00891C26">
      <w:pPr>
        <w:pStyle w:val="BodyText"/>
        <w:spacing w:after="0" w:line="276" w:lineRule="auto"/>
        <w:jc w:val="both"/>
        <w:rPr>
          <w:b/>
          <w:lang w:eastAsia="en-US"/>
        </w:rPr>
      </w:pPr>
      <w:r w:rsidRPr="00BF33E5">
        <w:rPr>
          <w:b/>
          <w:lang w:eastAsia="en-US"/>
        </w:rPr>
        <w:t>Йоанис Парменион Партениотис</w:t>
      </w:r>
    </w:p>
    <w:p w14:paraId="23F85FC4" w14:textId="77777777" w:rsidR="00377122" w:rsidRPr="00BF33E5" w:rsidRDefault="00377122" w:rsidP="00891C26">
      <w:pPr>
        <w:pStyle w:val="BodyText"/>
        <w:spacing w:after="0" w:line="276" w:lineRule="auto"/>
        <w:ind w:left="851"/>
        <w:jc w:val="both"/>
        <w:rPr>
          <w:lang w:eastAsia="en-US"/>
        </w:rPr>
      </w:pPr>
      <w:r w:rsidRPr="00BF33E5">
        <w:rPr>
          <w:lang w:eastAsia="en-US"/>
        </w:rPr>
        <w:t>Не участва в други търговски дружества като неограничено отговорен съдружник.</w:t>
      </w:r>
    </w:p>
    <w:p w14:paraId="0A7EB35B" w14:textId="77777777" w:rsidR="00377122" w:rsidRPr="00BF33E5" w:rsidRDefault="00377122" w:rsidP="00891C26">
      <w:pPr>
        <w:pStyle w:val="BodyText"/>
        <w:spacing w:after="0" w:line="276" w:lineRule="auto"/>
        <w:ind w:left="851"/>
        <w:jc w:val="both"/>
        <w:rPr>
          <w:lang w:eastAsia="en-US"/>
        </w:rPr>
      </w:pPr>
      <w:r w:rsidRPr="00BF33E5">
        <w:rPr>
          <w:lang w:eastAsia="en-US"/>
        </w:rPr>
        <w:t>Не притежава повече от 25 % от капитала на други търговски дружества.</w:t>
      </w:r>
    </w:p>
    <w:p w14:paraId="39B352AC" w14:textId="77777777" w:rsidR="00377122" w:rsidRPr="00BF33E5" w:rsidRDefault="00377122" w:rsidP="00891C26">
      <w:pPr>
        <w:pStyle w:val="BodyText"/>
        <w:spacing w:after="0" w:line="276" w:lineRule="auto"/>
        <w:ind w:left="851"/>
        <w:jc w:val="both"/>
        <w:rPr>
          <w:lang w:eastAsia="en-US"/>
        </w:rPr>
      </w:pPr>
      <w:r w:rsidRPr="00BF33E5">
        <w:rPr>
          <w:lang w:eastAsia="en-US"/>
        </w:rPr>
        <w:t>Участва в управлението като член на съвет на ПОК „Съгласие” АД.</w:t>
      </w:r>
    </w:p>
    <w:p w14:paraId="2F775532" w14:textId="77777777" w:rsidR="001F37A6" w:rsidRPr="00B85105" w:rsidRDefault="00377122" w:rsidP="00891C26">
      <w:pPr>
        <w:pStyle w:val="BodyText"/>
        <w:spacing w:line="276" w:lineRule="auto"/>
        <w:ind w:left="851"/>
        <w:jc w:val="both"/>
        <w:rPr>
          <w:lang w:eastAsia="en-US"/>
        </w:rPr>
      </w:pPr>
      <w:r w:rsidRPr="00B85105">
        <w:rPr>
          <w:lang w:eastAsia="en-US"/>
        </w:rPr>
        <w:t>Не участва като прокурист в управлението на други дружества или кооперации.</w:t>
      </w:r>
    </w:p>
    <w:p w14:paraId="100C284C" w14:textId="77777777" w:rsidR="00377122" w:rsidRPr="00B85105" w:rsidRDefault="00377122" w:rsidP="00891C26">
      <w:pPr>
        <w:pStyle w:val="BodyText"/>
        <w:spacing w:after="0" w:line="276" w:lineRule="auto"/>
        <w:jc w:val="both"/>
        <w:rPr>
          <w:b/>
          <w:lang w:eastAsia="en-US"/>
        </w:rPr>
      </w:pPr>
      <w:r w:rsidRPr="00B85105">
        <w:rPr>
          <w:b/>
          <w:lang w:eastAsia="en-US"/>
        </w:rPr>
        <w:lastRenderedPageBreak/>
        <w:t>Красимир</w:t>
      </w:r>
      <w:r w:rsidRPr="00B85105">
        <w:rPr>
          <w:b/>
          <w:bCs/>
        </w:rPr>
        <w:t xml:space="preserve"> Атанасов Желев</w:t>
      </w:r>
    </w:p>
    <w:p w14:paraId="3D72A9E0" w14:textId="77777777" w:rsidR="00377122" w:rsidRPr="00B85105" w:rsidRDefault="00377122" w:rsidP="00891C26">
      <w:pPr>
        <w:pStyle w:val="BodyText"/>
        <w:spacing w:after="0" w:line="276" w:lineRule="auto"/>
        <w:ind w:left="851"/>
        <w:jc w:val="both"/>
        <w:rPr>
          <w:lang w:eastAsia="en-US"/>
        </w:rPr>
      </w:pPr>
      <w:r w:rsidRPr="00B85105">
        <w:rPr>
          <w:lang w:eastAsia="en-US"/>
        </w:rPr>
        <w:t>Не участва в други търговски дружества като неограничено отговорен съдружник.</w:t>
      </w:r>
    </w:p>
    <w:p w14:paraId="72EBCE0A" w14:textId="77777777" w:rsidR="00377122" w:rsidRPr="00B85105" w:rsidRDefault="00B62552" w:rsidP="00891C26">
      <w:pPr>
        <w:pStyle w:val="BodyText"/>
        <w:spacing w:after="0" w:line="276" w:lineRule="auto"/>
        <w:ind w:left="851"/>
        <w:jc w:val="both"/>
        <w:rPr>
          <w:lang w:eastAsia="en-US"/>
        </w:rPr>
      </w:pPr>
      <w:r w:rsidRPr="00B85105">
        <w:rPr>
          <w:lang w:eastAsia="en-US"/>
        </w:rPr>
        <w:t>Притежава</w:t>
      </w:r>
      <w:r w:rsidR="00AB6A58" w:rsidRPr="00B85105">
        <w:rPr>
          <w:lang w:eastAsia="en-US"/>
        </w:rPr>
        <w:t xml:space="preserve"> повече от 25 % от капитала на </w:t>
      </w:r>
      <w:r w:rsidR="002171B1" w:rsidRPr="00B85105">
        <w:rPr>
          <w:lang w:eastAsia="en-US"/>
        </w:rPr>
        <w:t>„Лъки Фе</w:t>
      </w:r>
      <w:r w:rsidR="00AB6A58" w:rsidRPr="00B85105">
        <w:rPr>
          <w:lang w:eastAsia="en-US"/>
        </w:rPr>
        <w:t>мили</w:t>
      </w:r>
      <w:r w:rsidR="002171B1" w:rsidRPr="00B85105">
        <w:rPr>
          <w:lang w:eastAsia="en-US"/>
        </w:rPr>
        <w:t xml:space="preserve"> Билдинг</w:t>
      </w:r>
      <w:r w:rsidR="00AB6A58" w:rsidRPr="00B85105">
        <w:rPr>
          <w:lang w:eastAsia="en-US"/>
        </w:rPr>
        <w:t>” ЕООД</w:t>
      </w:r>
      <w:r w:rsidR="00377122" w:rsidRPr="00B85105">
        <w:rPr>
          <w:lang w:eastAsia="en-US"/>
        </w:rPr>
        <w:t>.</w:t>
      </w:r>
    </w:p>
    <w:p w14:paraId="50C80BCF" w14:textId="17A2E30B" w:rsidR="00B85105" w:rsidRPr="00B85105" w:rsidRDefault="00B85105">
      <w:pPr>
        <w:pStyle w:val="BodyText"/>
        <w:spacing w:after="0" w:line="276" w:lineRule="auto"/>
        <w:ind w:left="851"/>
        <w:jc w:val="both"/>
        <w:rPr>
          <w:lang w:eastAsia="en-US"/>
        </w:rPr>
      </w:pPr>
      <w:r w:rsidRPr="00B85105">
        <w:rPr>
          <w:lang w:eastAsia="en-US"/>
        </w:rPr>
        <w:t xml:space="preserve">Участва в управлението като управител на </w:t>
      </w:r>
      <w:r w:rsidRPr="008B7085">
        <w:rPr>
          <w:lang w:eastAsia="en-US"/>
        </w:rPr>
        <w:t>„Лъки Фемили Билдинг“ ЕООД.</w:t>
      </w:r>
    </w:p>
    <w:p w14:paraId="17C2A44E" w14:textId="77777777" w:rsidR="00377122" w:rsidRPr="00B85105" w:rsidRDefault="001640A5" w:rsidP="00891C26">
      <w:pPr>
        <w:pStyle w:val="BodyText"/>
        <w:spacing w:line="276" w:lineRule="auto"/>
        <w:ind w:left="851"/>
        <w:jc w:val="both"/>
        <w:rPr>
          <w:lang w:eastAsia="en-US"/>
        </w:rPr>
      </w:pPr>
      <w:r w:rsidRPr="00B85105">
        <w:rPr>
          <w:lang w:eastAsia="en-US"/>
        </w:rPr>
        <w:t>Не участва като прокурист в управлението на други дружества или кооперации.</w:t>
      </w:r>
    </w:p>
    <w:p w14:paraId="21260EAB" w14:textId="77777777" w:rsidR="00516EC4" w:rsidRPr="00B85105" w:rsidRDefault="00516EC4" w:rsidP="00891C26">
      <w:pPr>
        <w:pStyle w:val="BodyText"/>
        <w:spacing w:after="0" w:line="276" w:lineRule="auto"/>
        <w:jc w:val="both"/>
      </w:pPr>
      <w:r w:rsidRPr="00B85105">
        <w:rPr>
          <w:b/>
          <w:bCs/>
        </w:rPr>
        <w:t>Наско Николов Драков</w:t>
      </w:r>
      <w:r w:rsidRPr="00B85105">
        <w:t xml:space="preserve"> </w:t>
      </w:r>
    </w:p>
    <w:p w14:paraId="4C0D70CA" w14:textId="60AF652C" w:rsidR="00697BF3" w:rsidRPr="00B85105" w:rsidRDefault="00697BF3" w:rsidP="00891C26">
      <w:pPr>
        <w:pStyle w:val="BodyText"/>
        <w:spacing w:after="0" w:line="276" w:lineRule="auto"/>
        <w:ind w:left="851"/>
        <w:jc w:val="both"/>
        <w:rPr>
          <w:lang w:eastAsia="en-US"/>
        </w:rPr>
      </w:pPr>
      <w:r w:rsidRPr="00B85105">
        <w:rPr>
          <w:lang w:eastAsia="en-US"/>
        </w:rPr>
        <w:t>Не участва в други търговски дружества като неограничено отговорен съдружник.</w:t>
      </w:r>
    </w:p>
    <w:p w14:paraId="409EC147" w14:textId="522ADEF1" w:rsidR="00B85105" w:rsidRPr="00B85105" w:rsidRDefault="00BF33E5" w:rsidP="008B7085">
      <w:pPr>
        <w:pStyle w:val="BodyText"/>
        <w:spacing w:after="0" w:line="276" w:lineRule="auto"/>
        <w:ind w:left="851"/>
        <w:rPr>
          <w:lang w:eastAsia="en-US"/>
        </w:rPr>
      </w:pPr>
      <w:r w:rsidRPr="008B7085">
        <w:rPr>
          <w:lang w:eastAsia="en-US"/>
        </w:rPr>
        <w:t>П</w:t>
      </w:r>
      <w:r w:rsidR="00697BF3" w:rsidRPr="00B85105">
        <w:rPr>
          <w:lang w:eastAsia="en-US"/>
        </w:rPr>
        <w:t xml:space="preserve">ритежава повече от 25 % от капитала </w:t>
      </w:r>
      <w:r w:rsidR="00B85105">
        <w:rPr>
          <w:lang w:eastAsia="en-US"/>
        </w:rPr>
        <w:t xml:space="preserve">на </w:t>
      </w:r>
      <w:r w:rsidRPr="008B7085">
        <w:rPr>
          <w:lang w:eastAsia="en-US"/>
        </w:rPr>
        <w:t>„Реди Старт“ ООД</w:t>
      </w:r>
      <w:r w:rsidR="00B85105">
        <w:rPr>
          <w:lang w:eastAsia="en-US"/>
        </w:rPr>
        <w:t>.</w:t>
      </w:r>
    </w:p>
    <w:p w14:paraId="51CBAA4A" w14:textId="0B2F41BD" w:rsidR="00B85105" w:rsidRPr="008B7085" w:rsidRDefault="00BF33E5" w:rsidP="008B7085">
      <w:pPr>
        <w:pStyle w:val="BodyText"/>
        <w:spacing w:after="0" w:line="276" w:lineRule="auto"/>
        <w:ind w:left="851"/>
        <w:rPr>
          <w:lang w:eastAsia="en-US"/>
        </w:rPr>
      </w:pPr>
      <w:r w:rsidRPr="008B7085">
        <w:rPr>
          <w:lang w:eastAsia="en-US"/>
        </w:rPr>
        <w:t>У</w:t>
      </w:r>
      <w:r w:rsidR="00697BF3" w:rsidRPr="00B85105">
        <w:rPr>
          <w:lang w:eastAsia="en-US"/>
        </w:rPr>
        <w:t xml:space="preserve">частва в управлението като управител или член на съвет на </w:t>
      </w:r>
      <w:r w:rsidRPr="008B7085">
        <w:rPr>
          <w:lang w:eastAsia="en-US"/>
        </w:rPr>
        <w:t>следните дружества:</w:t>
      </w:r>
    </w:p>
    <w:p w14:paraId="13E12082" w14:textId="467D58FD" w:rsidR="00697BF3" w:rsidRPr="00B85105" w:rsidRDefault="00BF33E5" w:rsidP="008B7085">
      <w:pPr>
        <w:pStyle w:val="BodyText"/>
        <w:spacing w:after="0" w:line="276" w:lineRule="auto"/>
        <w:ind w:left="851"/>
        <w:rPr>
          <w:lang w:eastAsia="en-US"/>
        </w:rPr>
      </w:pPr>
      <w:r w:rsidRPr="008B7085">
        <w:rPr>
          <w:lang w:eastAsia="en-US"/>
        </w:rPr>
        <w:t>- „Реди Старт“ ООД</w:t>
      </w:r>
      <w:r w:rsidRPr="008B7085">
        <w:rPr>
          <w:lang w:eastAsia="en-US"/>
        </w:rPr>
        <w:br/>
      </w:r>
      <w:r w:rsidR="00B85105" w:rsidRPr="008B7085">
        <w:rPr>
          <w:lang w:eastAsia="en-US"/>
        </w:rPr>
        <w:t>- „Зона за обществен достъп – Бургас“ АД</w:t>
      </w:r>
    </w:p>
    <w:p w14:paraId="3EA8E70E" w14:textId="77777777" w:rsidR="00697BF3" w:rsidRDefault="00697BF3" w:rsidP="00891C26">
      <w:pPr>
        <w:pStyle w:val="BodyText"/>
        <w:spacing w:line="276" w:lineRule="auto"/>
        <w:ind w:left="851"/>
        <w:jc w:val="both"/>
        <w:rPr>
          <w:lang w:eastAsia="en-US"/>
        </w:rPr>
      </w:pPr>
      <w:r w:rsidRPr="00B85105">
        <w:rPr>
          <w:lang w:eastAsia="en-US"/>
        </w:rPr>
        <w:t>Не участва като прокурист в управлението на други дружества или кооперации.</w:t>
      </w:r>
    </w:p>
    <w:p w14:paraId="70B4D707" w14:textId="77777777" w:rsidR="00BB3188" w:rsidRPr="00C67CA3" w:rsidRDefault="00BB3188" w:rsidP="00891C26">
      <w:pPr>
        <w:pStyle w:val="BodyText"/>
        <w:spacing w:line="276" w:lineRule="auto"/>
        <w:ind w:left="851"/>
        <w:jc w:val="both"/>
        <w:rPr>
          <w:lang w:eastAsia="en-US"/>
        </w:rPr>
      </w:pPr>
    </w:p>
    <w:p w14:paraId="64AA2AAA" w14:textId="77777777" w:rsidR="001F37A6" w:rsidRPr="00C67CA3" w:rsidRDefault="001F37A6" w:rsidP="00891C26">
      <w:pPr>
        <w:pStyle w:val="ListParagraph"/>
        <w:widowControl/>
        <w:numPr>
          <w:ilvl w:val="1"/>
          <w:numId w:val="30"/>
        </w:numPr>
        <w:tabs>
          <w:tab w:val="left" w:pos="1134"/>
        </w:tabs>
        <w:autoSpaceDE/>
        <w:autoSpaceDN/>
        <w:adjustRightInd/>
        <w:spacing w:after="240" w:line="276" w:lineRule="auto"/>
        <w:ind w:left="1134" w:hanging="283"/>
        <w:jc w:val="both"/>
        <w:rPr>
          <w:b/>
        </w:rPr>
      </w:pPr>
      <w:r w:rsidRPr="00C67CA3">
        <w:rPr>
          <w:b/>
        </w:rPr>
        <w:t>Сключени през 201</w:t>
      </w:r>
      <w:r w:rsidR="002762CF">
        <w:rPr>
          <w:b/>
        </w:rPr>
        <w:t>9</w:t>
      </w:r>
      <w:r w:rsidRPr="00C67CA3">
        <w:rPr>
          <w:b/>
        </w:rPr>
        <w:t xml:space="preserve"> г. договори с членове на СД или свързани с тях лица, които излизат извън обичайната дейност на дружеството или съществено се отклоняват от пазарните условия.</w:t>
      </w:r>
    </w:p>
    <w:p w14:paraId="6F33B72A" w14:textId="77777777" w:rsidR="001F37A6" w:rsidRPr="00C67CA3" w:rsidRDefault="00766BDB" w:rsidP="00891C26">
      <w:pPr>
        <w:pStyle w:val="BodyText"/>
        <w:spacing w:line="276" w:lineRule="auto"/>
        <w:ind w:firstLine="851"/>
        <w:jc w:val="both"/>
        <w:rPr>
          <w:lang w:eastAsia="en-US"/>
        </w:rPr>
      </w:pPr>
      <w:r>
        <w:rPr>
          <w:lang w:eastAsia="en-US"/>
        </w:rPr>
        <w:t>През 201</w:t>
      </w:r>
      <w:r w:rsidR="002762CF">
        <w:rPr>
          <w:lang w:eastAsia="en-US"/>
        </w:rPr>
        <w:t>9</w:t>
      </w:r>
      <w:r w:rsidR="001F37A6" w:rsidRPr="00C67CA3">
        <w:rPr>
          <w:lang w:eastAsia="en-US"/>
        </w:rPr>
        <w:t xml:space="preserve"> г. не са сключвани договори с дружеството от членовете на СД или свързани с тях лица, които излизат извън обичайната дейност на дружеството или съществено се отклоняват от пазарните условия.</w:t>
      </w:r>
    </w:p>
    <w:p w14:paraId="2E06A651" w14:textId="6191910F" w:rsidR="00BB3188" w:rsidRDefault="00BB3188" w:rsidP="00891C26">
      <w:pPr>
        <w:spacing w:line="276" w:lineRule="auto"/>
        <w:rPr>
          <w:b/>
          <w:color w:val="000000"/>
        </w:rPr>
      </w:pPr>
    </w:p>
    <w:p w14:paraId="2876D8CC" w14:textId="7267D69C" w:rsidR="006A7C16" w:rsidRDefault="006A7C16" w:rsidP="00891C26">
      <w:pPr>
        <w:spacing w:line="276" w:lineRule="auto"/>
        <w:rPr>
          <w:b/>
          <w:color w:val="000000"/>
        </w:rPr>
      </w:pPr>
    </w:p>
    <w:p w14:paraId="14A109F9" w14:textId="01084D22" w:rsidR="006A7C16" w:rsidRDefault="006A7C16" w:rsidP="00891C26">
      <w:pPr>
        <w:spacing w:line="276" w:lineRule="auto"/>
        <w:rPr>
          <w:b/>
          <w:color w:val="000000"/>
        </w:rPr>
      </w:pPr>
    </w:p>
    <w:p w14:paraId="3683C341" w14:textId="77E66D67" w:rsidR="006A7C16" w:rsidRDefault="006A7C16" w:rsidP="00891C26">
      <w:pPr>
        <w:spacing w:line="276" w:lineRule="auto"/>
        <w:rPr>
          <w:b/>
          <w:color w:val="000000"/>
        </w:rPr>
      </w:pPr>
    </w:p>
    <w:p w14:paraId="5DFFF716" w14:textId="3FB6EBC5" w:rsidR="006A7C16" w:rsidRDefault="006A7C16" w:rsidP="00891C26">
      <w:pPr>
        <w:spacing w:line="276" w:lineRule="auto"/>
        <w:rPr>
          <w:b/>
          <w:color w:val="000000"/>
        </w:rPr>
      </w:pPr>
    </w:p>
    <w:p w14:paraId="677FCA2B" w14:textId="2C7BB927" w:rsidR="006A7C16" w:rsidRDefault="006A7C16" w:rsidP="00891C26">
      <w:pPr>
        <w:spacing w:line="276" w:lineRule="auto"/>
        <w:rPr>
          <w:b/>
          <w:color w:val="000000"/>
        </w:rPr>
      </w:pPr>
    </w:p>
    <w:p w14:paraId="217AC55E" w14:textId="7DF26376" w:rsidR="006A7C16" w:rsidRDefault="006A7C16" w:rsidP="00891C26">
      <w:pPr>
        <w:spacing w:line="276" w:lineRule="auto"/>
        <w:rPr>
          <w:b/>
          <w:color w:val="000000"/>
        </w:rPr>
      </w:pPr>
    </w:p>
    <w:p w14:paraId="56DEAE89" w14:textId="37DAA399" w:rsidR="006A7C16" w:rsidRDefault="006A7C16" w:rsidP="00891C26">
      <w:pPr>
        <w:spacing w:line="276" w:lineRule="auto"/>
        <w:rPr>
          <w:b/>
          <w:color w:val="000000"/>
        </w:rPr>
      </w:pPr>
    </w:p>
    <w:p w14:paraId="59C2F8A6" w14:textId="27C9F0DE" w:rsidR="006A7C16" w:rsidRDefault="006A7C16" w:rsidP="00891C26">
      <w:pPr>
        <w:spacing w:line="276" w:lineRule="auto"/>
        <w:rPr>
          <w:b/>
          <w:color w:val="000000"/>
        </w:rPr>
      </w:pPr>
    </w:p>
    <w:p w14:paraId="092A3218" w14:textId="32D07419" w:rsidR="006A7C16" w:rsidRDefault="006A7C16" w:rsidP="00891C26">
      <w:pPr>
        <w:spacing w:line="276" w:lineRule="auto"/>
        <w:rPr>
          <w:b/>
          <w:color w:val="000000"/>
        </w:rPr>
      </w:pPr>
    </w:p>
    <w:p w14:paraId="0202B176" w14:textId="3C5EAF32" w:rsidR="006A7C16" w:rsidRDefault="006A7C16" w:rsidP="00891C26">
      <w:pPr>
        <w:spacing w:line="276" w:lineRule="auto"/>
        <w:rPr>
          <w:b/>
          <w:color w:val="000000"/>
        </w:rPr>
      </w:pPr>
    </w:p>
    <w:p w14:paraId="1773D4E8" w14:textId="51BB7430" w:rsidR="006A7C16" w:rsidRDefault="006A7C16" w:rsidP="00891C26">
      <w:pPr>
        <w:spacing w:line="276" w:lineRule="auto"/>
        <w:rPr>
          <w:b/>
          <w:color w:val="000000"/>
        </w:rPr>
      </w:pPr>
    </w:p>
    <w:p w14:paraId="1F654036" w14:textId="0A5D2B3E" w:rsidR="006A7C16" w:rsidRDefault="006A7C16" w:rsidP="00891C26">
      <w:pPr>
        <w:spacing w:line="276" w:lineRule="auto"/>
        <w:rPr>
          <w:b/>
          <w:color w:val="000000"/>
        </w:rPr>
      </w:pPr>
    </w:p>
    <w:p w14:paraId="335091E9" w14:textId="34FA6DD0" w:rsidR="006A7C16" w:rsidRDefault="006A7C16" w:rsidP="00891C26">
      <w:pPr>
        <w:spacing w:line="276" w:lineRule="auto"/>
        <w:rPr>
          <w:b/>
          <w:color w:val="000000"/>
        </w:rPr>
      </w:pPr>
    </w:p>
    <w:p w14:paraId="06539A0F" w14:textId="5049EE97" w:rsidR="006A7C16" w:rsidRDefault="006A7C16" w:rsidP="00891C26">
      <w:pPr>
        <w:spacing w:line="276" w:lineRule="auto"/>
        <w:rPr>
          <w:b/>
          <w:color w:val="000000"/>
        </w:rPr>
      </w:pPr>
    </w:p>
    <w:p w14:paraId="3F52F916" w14:textId="6D2A9FD9" w:rsidR="006A7C16" w:rsidRDefault="006A7C16" w:rsidP="00891C26">
      <w:pPr>
        <w:spacing w:line="276" w:lineRule="auto"/>
        <w:rPr>
          <w:b/>
          <w:color w:val="000000"/>
        </w:rPr>
      </w:pPr>
    </w:p>
    <w:p w14:paraId="17434664" w14:textId="0AF015DD" w:rsidR="006A7C16" w:rsidRDefault="006A7C16" w:rsidP="00891C26">
      <w:pPr>
        <w:spacing w:line="276" w:lineRule="auto"/>
        <w:rPr>
          <w:b/>
          <w:color w:val="000000"/>
        </w:rPr>
      </w:pPr>
    </w:p>
    <w:p w14:paraId="37838738" w14:textId="4BE73135" w:rsidR="006A7C16" w:rsidRDefault="006A7C16" w:rsidP="00891C26">
      <w:pPr>
        <w:spacing w:line="276" w:lineRule="auto"/>
        <w:rPr>
          <w:b/>
          <w:color w:val="000000"/>
        </w:rPr>
      </w:pPr>
    </w:p>
    <w:p w14:paraId="7F578B20" w14:textId="77777777" w:rsidR="006A7C16" w:rsidRDefault="006A7C16" w:rsidP="00891C26">
      <w:pPr>
        <w:spacing w:line="276" w:lineRule="auto"/>
        <w:rPr>
          <w:b/>
          <w:color w:val="000000"/>
        </w:rPr>
      </w:pPr>
    </w:p>
    <w:p w14:paraId="72858623" w14:textId="77777777" w:rsidR="001B0A54" w:rsidRPr="00C67CA3" w:rsidRDefault="007E7782" w:rsidP="00891C26">
      <w:pPr>
        <w:pStyle w:val="BodyText"/>
        <w:numPr>
          <w:ilvl w:val="0"/>
          <w:numId w:val="32"/>
        </w:numPr>
        <w:spacing w:line="276" w:lineRule="auto"/>
        <w:ind w:left="567" w:hanging="207"/>
        <w:jc w:val="both"/>
        <w:rPr>
          <w:b/>
          <w:color w:val="000000"/>
        </w:rPr>
      </w:pPr>
      <w:r w:rsidRPr="00C67CA3">
        <w:rPr>
          <w:b/>
          <w:color w:val="000000"/>
        </w:rPr>
        <w:lastRenderedPageBreak/>
        <w:t>Допълнителна информация по Раздел VІ А от Приложе</w:t>
      </w:r>
      <w:r w:rsidR="003D2D53">
        <w:rPr>
          <w:b/>
          <w:color w:val="000000"/>
        </w:rPr>
        <w:t>ние № 10 на Наредба № 2 на КФН</w:t>
      </w:r>
    </w:p>
    <w:p w14:paraId="0777E820" w14:textId="77777777" w:rsidR="00374004" w:rsidRPr="00C67CA3" w:rsidRDefault="00374004" w:rsidP="00891C26">
      <w:pPr>
        <w:pStyle w:val="Style5"/>
        <w:widowControl/>
        <w:tabs>
          <w:tab w:val="left" w:pos="142"/>
        </w:tabs>
        <w:spacing w:line="276" w:lineRule="auto"/>
        <w:ind w:left="705" w:firstLine="0"/>
        <w:rPr>
          <w:b/>
        </w:rPr>
      </w:pPr>
    </w:p>
    <w:p w14:paraId="1E10CD66" w14:textId="77777777" w:rsidR="00835A5A" w:rsidRPr="005773FB" w:rsidRDefault="007E7782" w:rsidP="00891C26">
      <w:pPr>
        <w:pStyle w:val="ListParagraph"/>
        <w:widowControl/>
        <w:numPr>
          <w:ilvl w:val="0"/>
          <w:numId w:val="35"/>
        </w:numPr>
        <w:tabs>
          <w:tab w:val="left" w:pos="851"/>
        </w:tabs>
        <w:autoSpaceDE/>
        <w:autoSpaceDN/>
        <w:adjustRightInd/>
        <w:spacing w:after="240" w:line="276" w:lineRule="auto"/>
        <w:ind w:left="851" w:hanging="284"/>
        <w:jc w:val="both"/>
        <w:rPr>
          <w:b/>
        </w:rPr>
      </w:pPr>
      <w:r w:rsidRPr="005773FB">
        <w:rPr>
          <w:b/>
        </w:rPr>
        <w:t>Информация, дадена в стойностно и количествено изражение относно основните категории стоки, продукти и/или предоставени услуги, с посочване на техния дял в приходите от продажби като цяло и промените, настъпили през отчетната финансова година;</w:t>
      </w:r>
    </w:p>
    <w:p w14:paraId="05A47742" w14:textId="77777777" w:rsidR="00F84747" w:rsidRPr="00C67CA3" w:rsidRDefault="007E7782" w:rsidP="00891C26">
      <w:pPr>
        <w:pStyle w:val="BodyText"/>
        <w:spacing w:line="276" w:lineRule="auto"/>
        <w:ind w:firstLine="851"/>
        <w:jc w:val="both"/>
      </w:pPr>
      <w:r w:rsidRPr="00C67CA3">
        <w:rPr>
          <w:lang w:eastAsia="en-US"/>
        </w:rPr>
        <w:t>Основните</w:t>
      </w:r>
      <w:r w:rsidRPr="00C67CA3">
        <w:t xml:space="preserve"> приходите на Дружеството са свързани с </w:t>
      </w:r>
      <w:r w:rsidR="007B7F5E" w:rsidRPr="00C67CA3">
        <w:t>продажба на услуги по доставяне на питейна вода, отвеждане и пречистване на отпадъчни води.</w:t>
      </w:r>
      <w:r w:rsidRPr="00C67CA3">
        <w:t xml:space="preserve"> Цената за тези услуги е държавно регулирана и е определена с решение на Комисията за енергийно и водно регулиране (КЕВР).</w:t>
      </w:r>
    </w:p>
    <w:p w14:paraId="117FD11B" w14:textId="0BEDF721" w:rsidR="00835A5A" w:rsidRDefault="007E7782" w:rsidP="00891C26">
      <w:pPr>
        <w:pStyle w:val="BodyText"/>
        <w:spacing w:line="276" w:lineRule="auto"/>
        <w:ind w:firstLine="851"/>
        <w:jc w:val="both"/>
      </w:pPr>
      <w:r w:rsidRPr="00DD4CB7">
        <w:t>През отчетния и предходен периоди Дружеството е реализирало приходи  от предоставените регулирани услуги</w:t>
      </w:r>
      <w:r w:rsidR="007B7F5E" w:rsidRPr="00DD4CB7">
        <w:t xml:space="preserve">  в размер на </w:t>
      </w:r>
      <w:r w:rsidR="002762CF">
        <w:t>62</w:t>
      </w:r>
      <w:r w:rsidR="000E7EF0">
        <w:t xml:space="preserve"> </w:t>
      </w:r>
      <w:r w:rsidR="00CF3C8E">
        <w:t>88</w:t>
      </w:r>
      <w:r w:rsidR="007D0DCA">
        <w:t>3</w:t>
      </w:r>
      <w:r w:rsidR="00CF3C8E">
        <w:t xml:space="preserve"> </w:t>
      </w:r>
      <w:r w:rsidR="00374004">
        <w:t>хил. лв.</w:t>
      </w:r>
    </w:p>
    <w:tbl>
      <w:tblPr>
        <w:tblW w:w="5008" w:type="pct"/>
        <w:tblLayout w:type="fixed"/>
        <w:tblCellMar>
          <w:left w:w="70" w:type="dxa"/>
          <w:right w:w="70" w:type="dxa"/>
        </w:tblCellMar>
        <w:tblLook w:val="04A0" w:firstRow="1" w:lastRow="0" w:firstColumn="1" w:lastColumn="0" w:noHBand="0" w:noVBand="1"/>
      </w:tblPr>
      <w:tblGrid>
        <w:gridCol w:w="7469"/>
        <w:gridCol w:w="1619"/>
      </w:tblGrid>
      <w:tr w:rsidR="00807D1B" w:rsidRPr="00DD4CB7" w14:paraId="3455544B" w14:textId="77777777" w:rsidTr="0050597D">
        <w:trPr>
          <w:trHeight w:val="276"/>
        </w:trPr>
        <w:tc>
          <w:tcPr>
            <w:tcW w:w="4109" w:type="pct"/>
            <w:tcBorders>
              <w:top w:val="nil"/>
              <w:left w:val="nil"/>
              <w:bottom w:val="nil"/>
              <w:right w:val="nil"/>
            </w:tcBorders>
            <w:shd w:val="clear" w:color="auto" w:fill="auto"/>
            <w:noWrap/>
            <w:vAlign w:val="bottom"/>
            <w:hideMark/>
          </w:tcPr>
          <w:p w14:paraId="6F85C023" w14:textId="77777777" w:rsidR="00A649B4" w:rsidRPr="00DD4CB7" w:rsidRDefault="00A649B4" w:rsidP="00891C26">
            <w:pPr>
              <w:spacing w:line="276" w:lineRule="auto"/>
              <w:rPr>
                <w:b/>
              </w:rPr>
            </w:pPr>
            <w:r w:rsidRPr="00DD4CB7">
              <w:rPr>
                <w:b/>
              </w:rPr>
              <w:t>Вид приход</w:t>
            </w:r>
            <w:r w:rsidR="006A5104" w:rsidRPr="00DD4CB7">
              <w:rPr>
                <w:b/>
              </w:rPr>
              <w:t>и</w:t>
            </w:r>
          </w:p>
        </w:tc>
        <w:tc>
          <w:tcPr>
            <w:tcW w:w="891" w:type="pct"/>
            <w:tcBorders>
              <w:left w:val="nil"/>
              <w:bottom w:val="nil"/>
              <w:right w:val="nil"/>
            </w:tcBorders>
            <w:shd w:val="clear" w:color="auto" w:fill="auto"/>
            <w:noWrap/>
            <w:vAlign w:val="bottom"/>
            <w:hideMark/>
          </w:tcPr>
          <w:p w14:paraId="7928FBEB" w14:textId="77777777" w:rsidR="00A649B4" w:rsidRPr="00C555B4" w:rsidRDefault="007140A2" w:rsidP="00891C26">
            <w:pPr>
              <w:spacing w:line="276" w:lineRule="auto"/>
              <w:jc w:val="right"/>
              <w:rPr>
                <w:b/>
                <w:bCs/>
                <w:lang w:val="en-US"/>
              </w:rPr>
            </w:pPr>
            <w:r w:rsidRPr="00DD4CB7">
              <w:rPr>
                <w:b/>
                <w:bCs/>
              </w:rPr>
              <w:t>201</w:t>
            </w:r>
            <w:r w:rsidR="002762CF">
              <w:rPr>
                <w:b/>
                <w:bCs/>
              </w:rPr>
              <w:t>9</w:t>
            </w:r>
          </w:p>
        </w:tc>
      </w:tr>
      <w:tr w:rsidR="00807D1B" w:rsidRPr="00DD4CB7" w14:paraId="4CAE0CE3" w14:textId="77777777" w:rsidTr="0050597D">
        <w:trPr>
          <w:trHeight w:val="276"/>
        </w:trPr>
        <w:tc>
          <w:tcPr>
            <w:tcW w:w="4109" w:type="pct"/>
            <w:tcBorders>
              <w:top w:val="nil"/>
              <w:left w:val="nil"/>
              <w:bottom w:val="nil"/>
              <w:right w:val="nil"/>
            </w:tcBorders>
            <w:shd w:val="clear" w:color="auto" w:fill="auto"/>
            <w:noWrap/>
            <w:vAlign w:val="bottom"/>
            <w:hideMark/>
          </w:tcPr>
          <w:p w14:paraId="488F86B4" w14:textId="77777777" w:rsidR="00A649B4" w:rsidRPr="00DD4CB7" w:rsidRDefault="00B91772" w:rsidP="00891C26">
            <w:pPr>
              <w:spacing w:line="276" w:lineRule="auto"/>
            </w:pPr>
            <w:r w:rsidRPr="00DD4CB7">
              <w:t xml:space="preserve">                        </w:t>
            </w:r>
          </w:p>
        </w:tc>
        <w:tc>
          <w:tcPr>
            <w:tcW w:w="891" w:type="pct"/>
            <w:tcBorders>
              <w:top w:val="nil"/>
              <w:left w:val="nil"/>
              <w:bottom w:val="nil"/>
              <w:right w:val="nil"/>
            </w:tcBorders>
            <w:shd w:val="clear" w:color="auto" w:fill="auto"/>
            <w:noWrap/>
            <w:vAlign w:val="bottom"/>
            <w:hideMark/>
          </w:tcPr>
          <w:p w14:paraId="452F8FD7" w14:textId="77777777" w:rsidR="00A649B4" w:rsidRPr="00DD4CB7" w:rsidRDefault="00677124" w:rsidP="00891C26">
            <w:pPr>
              <w:spacing w:line="276" w:lineRule="auto"/>
              <w:jc w:val="right"/>
            </w:pPr>
            <w:r w:rsidRPr="00DD4CB7">
              <w:rPr>
                <w:b/>
                <w:bCs/>
                <w:lang w:eastAsia="en-US"/>
              </w:rPr>
              <w:t>‘000 лв.</w:t>
            </w:r>
          </w:p>
        </w:tc>
      </w:tr>
      <w:tr w:rsidR="00807D1B" w:rsidRPr="00DD4CB7" w14:paraId="127F99D3" w14:textId="77777777" w:rsidTr="0050597D">
        <w:trPr>
          <w:trHeight w:val="276"/>
        </w:trPr>
        <w:tc>
          <w:tcPr>
            <w:tcW w:w="4109" w:type="pct"/>
            <w:tcBorders>
              <w:top w:val="nil"/>
              <w:left w:val="nil"/>
              <w:bottom w:val="nil"/>
              <w:right w:val="nil"/>
            </w:tcBorders>
            <w:shd w:val="clear" w:color="auto" w:fill="auto"/>
            <w:noWrap/>
            <w:vAlign w:val="bottom"/>
            <w:hideMark/>
          </w:tcPr>
          <w:p w14:paraId="4C313BE0" w14:textId="77777777" w:rsidR="00A649B4" w:rsidRPr="00DD4CB7" w:rsidRDefault="00A649B4" w:rsidP="00891C26">
            <w:pPr>
              <w:spacing w:line="276" w:lineRule="auto"/>
            </w:pPr>
            <w:r w:rsidRPr="00DD4CB7">
              <w:t>Приходи от доставяне на питейна вода</w:t>
            </w:r>
          </w:p>
        </w:tc>
        <w:tc>
          <w:tcPr>
            <w:tcW w:w="891" w:type="pct"/>
            <w:tcBorders>
              <w:top w:val="nil"/>
              <w:left w:val="nil"/>
              <w:bottom w:val="nil"/>
              <w:right w:val="nil"/>
            </w:tcBorders>
            <w:shd w:val="clear" w:color="auto" w:fill="auto"/>
            <w:noWrap/>
            <w:vAlign w:val="bottom"/>
            <w:hideMark/>
          </w:tcPr>
          <w:p w14:paraId="17D2F14B" w14:textId="3F8C77B9" w:rsidR="000F77FA" w:rsidRPr="00D87782" w:rsidRDefault="002762CF" w:rsidP="00891C26">
            <w:pPr>
              <w:spacing w:line="276" w:lineRule="auto"/>
              <w:jc w:val="right"/>
            </w:pPr>
            <w:r>
              <w:t>40</w:t>
            </w:r>
            <w:r w:rsidR="006C7502">
              <w:rPr>
                <w:lang w:val="en-US"/>
              </w:rPr>
              <w:t xml:space="preserve"> </w:t>
            </w:r>
            <w:r w:rsidR="00CF3C8E">
              <w:t>04</w:t>
            </w:r>
            <w:r w:rsidR="00D87782">
              <w:t>4</w:t>
            </w:r>
          </w:p>
        </w:tc>
      </w:tr>
      <w:tr w:rsidR="00807D1B" w:rsidRPr="00DD4CB7" w14:paraId="6D27B440" w14:textId="77777777" w:rsidTr="0050597D">
        <w:trPr>
          <w:trHeight w:val="276"/>
        </w:trPr>
        <w:tc>
          <w:tcPr>
            <w:tcW w:w="4109" w:type="pct"/>
            <w:tcBorders>
              <w:top w:val="nil"/>
              <w:left w:val="nil"/>
              <w:bottom w:val="nil"/>
              <w:right w:val="nil"/>
            </w:tcBorders>
            <w:shd w:val="clear" w:color="auto" w:fill="auto"/>
            <w:noWrap/>
            <w:vAlign w:val="bottom"/>
            <w:hideMark/>
          </w:tcPr>
          <w:p w14:paraId="443CE362" w14:textId="77777777" w:rsidR="00A649B4" w:rsidRPr="00DD4CB7" w:rsidRDefault="00A649B4" w:rsidP="00891C26">
            <w:pPr>
              <w:spacing w:line="276" w:lineRule="auto"/>
            </w:pPr>
            <w:r w:rsidRPr="00DD4CB7">
              <w:t>Приходи от пречистване на отпадъчни води</w:t>
            </w:r>
          </w:p>
        </w:tc>
        <w:tc>
          <w:tcPr>
            <w:tcW w:w="891" w:type="pct"/>
            <w:tcBorders>
              <w:top w:val="nil"/>
              <w:left w:val="nil"/>
              <w:bottom w:val="nil"/>
              <w:right w:val="nil"/>
            </w:tcBorders>
            <w:shd w:val="clear" w:color="auto" w:fill="auto"/>
            <w:noWrap/>
            <w:vAlign w:val="bottom"/>
            <w:hideMark/>
          </w:tcPr>
          <w:p w14:paraId="6EEBF520" w14:textId="77777777" w:rsidR="00A649B4" w:rsidRPr="00DD4CB7" w:rsidRDefault="002762CF" w:rsidP="00891C26">
            <w:pPr>
              <w:spacing w:line="276" w:lineRule="auto"/>
              <w:jc w:val="right"/>
              <w:rPr>
                <w:lang w:val="en-US"/>
              </w:rPr>
            </w:pPr>
            <w:r>
              <w:t>9</w:t>
            </w:r>
            <w:r w:rsidR="00DA7DDC" w:rsidRPr="00DD4CB7">
              <w:rPr>
                <w:lang w:val="en-US"/>
              </w:rPr>
              <w:t xml:space="preserve"> </w:t>
            </w:r>
            <w:r>
              <w:t>813</w:t>
            </w:r>
          </w:p>
        </w:tc>
      </w:tr>
      <w:tr w:rsidR="00807D1B" w:rsidRPr="00DD4CB7" w14:paraId="07386300" w14:textId="77777777" w:rsidTr="0050597D">
        <w:trPr>
          <w:trHeight w:val="276"/>
        </w:trPr>
        <w:tc>
          <w:tcPr>
            <w:tcW w:w="4109" w:type="pct"/>
            <w:tcBorders>
              <w:top w:val="nil"/>
              <w:left w:val="nil"/>
              <w:bottom w:val="nil"/>
              <w:right w:val="nil"/>
            </w:tcBorders>
            <w:shd w:val="clear" w:color="auto" w:fill="auto"/>
            <w:noWrap/>
            <w:vAlign w:val="bottom"/>
            <w:hideMark/>
          </w:tcPr>
          <w:p w14:paraId="273ADD2F" w14:textId="77777777" w:rsidR="00A649B4" w:rsidRPr="00DD4CB7" w:rsidRDefault="00A649B4" w:rsidP="00891C26">
            <w:pPr>
              <w:spacing w:line="276" w:lineRule="auto"/>
            </w:pPr>
            <w:r w:rsidRPr="00DD4CB7">
              <w:t>Приходи от отвеждане на отпадъчни води</w:t>
            </w:r>
          </w:p>
        </w:tc>
        <w:tc>
          <w:tcPr>
            <w:tcW w:w="891" w:type="pct"/>
            <w:tcBorders>
              <w:top w:val="nil"/>
              <w:left w:val="nil"/>
              <w:bottom w:val="nil"/>
              <w:right w:val="nil"/>
            </w:tcBorders>
            <w:shd w:val="clear" w:color="auto" w:fill="auto"/>
            <w:noWrap/>
            <w:vAlign w:val="bottom"/>
            <w:hideMark/>
          </w:tcPr>
          <w:p w14:paraId="18441723" w14:textId="77777777" w:rsidR="00A649B4" w:rsidRPr="00DD4CB7" w:rsidRDefault="002762CF" w:rsidP="00891C26">
            <w:pPr>
              <w:spacing w:line="276" w:lineRule="auto"/>
              <w:jc w:val="right"/>
            </w:pPr>
            <w:r>
              <w:t>13</w:t>
            </w:r>
            <w:r w:rsidR="00DA7DDC" w:rsidRPr="00DD4CB7">
              <w:rPr>
                <w:lang w:val="en-US"/>
              </w:rPr>
              <w:t xml:space="preserve"> </w:t>
            </w:r>
            <w:r>
              <w:t>026</w:t>
            </w:r>
            <w:r w:rsidR="00A649B4" w:rsidRPr="00DD4CB7">
              <w:t xml:space="preserve"> </w:t>
            </w:r>
          </w:p>
        </w:tc>
      </w:tr>
      <w:tr w:rsidR="00A649B4" w:rsidRPr="00DD4CB7" w14:paraId="21B73090" w14:textId="77777777" w:rsidTr="0050597D">
        <w:trPr>
          <w:trHeight w:val="58"/>
        </w:trPr>
        <w:tc>
          <w:tcPr>
            <w:tcW w:w="4109" w:type="pct"/>
            <w:tcBorders>
              <w:top w:val="nil"/>
              <w:left w:val="nil"/>
              <w:bottom w:val="nil"/>
              <w:right w:val="nil"/>
            </w:tcBorders>
            <w:shd w:val="clear" w:color="auto" w:fill="auto"/>
            <w:vAlign w:val="center"/>
            <w:hideMark/>
          </w:tcPr>
          <w:p w14:paraId="193A9CD7" w14:textId="77777777" w:rsidR="00A649B4" w:rsidRPr="00DD4CB7" w:rsidRDefault="00A649B4" w:rsidP="00891C26">
            <w:pPr>
              <w:spacing w:line="276" w:lineRule="auto"/>
              <w:jc w:val="both"/>
              <w:rPr>
                <w:b/>
                <w:bCs/>
              </w:rPr>
            </w:pPr>
            <w:r w:rsidRPr="00DD4CB7">
              <w:rPr>
                <w:b/>
                <w:bCs/>
              </w:rPr>
              <w:t>Общо</w:t>
            </w:r>
          </w:p>
        </w:tc>
        <w:tc>
          <w:tcPr>
            <w:tcW w:w="891" w:type="pct"/>
            <w:tcBorders>
              <w:top w:val="single" w:sz="4" w:space="0" w:color="auto"/>
              <w:left w:val="nil"/>
              <w:bottom w:val="double" w:sz="6" w:space="0" w:color="auto"/>
              <w:right w:val="nil"/>
            </w:tcBorders>
            <w:shd w:val="clear" w:color="auto" w:fill="auto"/>
            <w:noWrap/>
            <w:vAlign w:val="bottom"/>
            <w:hideMark/>
          </w:tcPr>
          <w:p w14:paraId="789FB387" w14:textId="5F0D87B0" w:rsidR="000F77FA" w:rsidRPr="00DD4CB7" w:rsidRDefault="002762CF" w:rsidP="00891C26">
            <w:pPr>
              <w:spacing w:line="276" w:lineRule="auto"/>
              <w:jc w:val="right"/>
              <w:rPr>
                <w:b/>
                <w:bCs/>
              </w:rPr>
            </w:pPr>
            <w:r>
              <w:rPr>
                <w:b/>
                <w:bCs/>
              </w:rPr>
              <w:t>62</w:t>
            </w:r>
            <w:r w:rsidR="003308C3">
              <w:rPr>
                <w:b/>
                <w:bCs/>
              </w:rPr>
              <w:t xml:space="preserve"> </w:t>
            </w:r>
            <w:r w:rsidR="00CF3C8E">
              <w:rPr>
                <w:b/>
                <w:bCs/>
              </w:rPr>
              <w:t>88</w:t>
            </w:r>
            <w:r w:rsidR="00D87782">
              <w:rPr>
                <w:b/>
                <w:bCs/>
              </w:rPr>
              <w:t>3</w:t>
            </w:r>
            <w:r w:rsidR="00CF3C8E" w:rsidRPr="00DD4CB7">
              <w:rPr>
                <w:b/>
                <w:bCs/>
              </w:rPr>
              <w:t xml:space="preserve"> </w:t>
            </w:r>
          </w:p>
        </w:tc>
      </w:tr>
    </w:tbl>
    <w:p w14:paraId="3D218B4A" w14:textId="77777777" w:rsidR="002A67C6" w:rsidRPr="00DD4CB7" w:rsidRDefault="002A67C6" w:rsidP="00891C26">
      <w:pPr>
        <w:pStyle w:val="Style5"/>
        <w:widowControl/>
        <w:tabs>
          <w:tab w:val="left" w:pos="142"/>
        </w:tabs>
        <w:spacing w:before="120" w:line="276" w:lineRule="auto"/>
        <w:ind w:firstLine="0"/>
        <w:rPr>
          <w:rStyle w:val="FontStyle14"/>
          <w:sz w:val="24"/>
          <w:szCs w:val="24"/>
        </w:rPr>
      </w:pPr>
    </w:p>
    <w:p w14:paraId="19BA5504" w14:textId="77777777" w:rsidR="00F84747" w:rsidRPr="00C67CA3" w:rsidRDefault="00F84747" w:rsidP="00F60BED">
      <w:pPr>
        <w:pStyle w:val="BodyText"/>
        <w:spacing w:line="276" w:lineRule="auto"/>
        <w:jc w:val="both"/>
      </w:pPr>
      <w:r w:rsidRPr="00C67CA3">
        <w:t>Дружеството реализира приходи от нерегулирани услуги в размер на</w:t>
      </w:r>
      <w:r w:rsidR="00724987" w:rsidRPr="00C67CA3">
        <w:t xml:space="preserve"> </w:t>
      </w:r>
      <w:r w:rsidR="002762CF">
        <w:t>765</w:t>
      </w:r>
      <w:r w:rsidRPr="00C67CA3">
        <w:t xml:space="preserve"> хил.</w:t>
      </w:r>
      <w:r w:rsidR="00CD5812" w:rsidRPr="00C67CA3">
        <w:t xml:space="preserve"> </w:t>
      </w:r>
      <w:r w:rsidRPr="00C67CA3">
        <w:t>лв.</w:t>
      </w:r>
    </w:p>
    <w:p w14:paraId="1C5C38DF" w14:textId="62734AB2" w:rsidR="003448CA" w:rsidRPr="00C67CA3" w:rsidRDefault="00807D1B" w:rsidP="00891C26">
      <w:pPr>
        <w:pStyle w:val="BodyText"/>
        <w:spacing w:line="276" w:lineRule="auto"/>
        <w:ind w:firstLine="851"/>
        <w:jc w:val="both"/>
      </w:pPr>
      <w:r>
        <w:t>През 201</w:t>
      </w:r>
      <w:r w:rsidR="002762CF">
        <w:t>9</w:t>
      </w:r>
      <w:r>
        <w:t xml:space="preserve"> г. дружеството продължава да изпълнява ангажимента си по</w:t>
      </w:r>
      <w:r w:rsidRPr="00807D1B">
        <w:t xml:space="preserve"> сключения дог</w:t>
      </w:r>
      <w:r>
        <w:t>овор с Асоциацията по ВиК (АВиК),</w:t>
      </w:r>
      <w:r w:rsidR="007E7782" w:rsidRPr="00C67CA3">
        <w:t xml:space="preserve"> описани по-горе в</w:t>
      </w:r>
      <w:r w:rsidR="006966D8" w:rsidRPr="00C67CA3">
        <w:t xml:space="preserve"> раздел I,</w:t>
      </w:r>
      <w:r w:rsidR="007E7782" w:rsidRPr="00C67CA3">
        <w:t xml:space="preserve"> т.2. „</w:t>
      </w:r>
      <w:r w:rsidR="00345F89" w:rsidRPr="00C67CA3">
        <w:t xml:space="preserve">Преглед на резултатите от дейността на и финансовото състояние на Дружеството. </w:t>
      </w:r>
      <w:r w:rsidR="006966D8" w:rsidRPr="00C67CA3">
        <w:t>О</w:t>
      </w:r>
      <w:r w:rsidR="007E7782" w:rsidRPr="00C67CA3">
        <w:t xml:space="preserve">бщи данни за дружеството“. Съгласно </w:t>
      </w:r>
      <w:r w:rsidR="00192704">
        <w:t>този договор</w:t>
      </w:r>
      <w:r w:rsidR="007E7782" w:rsidRPr="00C67CA3">
        <w:t xml:space="preserve">  Дружеството извършва услуги по реконструкция на публични активи, собственост на общини и държава на територията на обособена област Бургас и</w:t>
      </w:r>
      <w:r w:rsidR="005339B6">
        <w:t xml:space="preserve"> приети за експлоатация. За 201</w:t>
      </w:r>
      <w:r w:rsidR="002762CF">
        <w:t>9</w:t>
      </w:r>
      <w:r w:rsidR="00345F89" w:rsidRPr="00C67CA3">
        <w:t xml:space="preserve"> </w:t>
      </w:r>
      <w:r w:rsidR="007E7782" w:rsidRPr="00C67CA3">
        <w:t xml:space="preserve">г. сумата на тези </w:t>
      </w:r>
      <w:r w:rsidR="002A67C6">
        <w:t>дейности</w:t>
      </w:r>
      <w:r w:rsidR="002A67C6" w:rsidRPr="00C67CA3">
        <w:t xml:space="preserve"> </w:t>
      </w:r>
      <w:r w:rsidR="007E7782" w:rsidRPr="00C67CA3">
        <w:t xml:space="preserve">е в размер на </w:t>
      </w:r>
      <w:r w:rsidR="00A77AD3">
        <w:t>1</w:t>
      </w:r>
      <w:r w:rsidR="00953856">
        <w:t>1</w:t>
      </w:r>
      <w:r w:rsidR="00A77AD3">
        <w:t xml:space="preserve"> </w:t>
      </w:r>
      <w:r w:rsidR="002762CF">
        <w:t>739</w:t>
      </w:r>
      <w:r w:rsidR="006164CF" w:rsidRPr="00C67CA3">
        <w:t xml:space="preserve"> </w:t>
      </w:r>
      <w:r w:rsidR="007E7782" w:rsidRPr="00C67CA3">
        <w:t>хил.</w:t>
      </w:r>
      <w:r w:rsidR="00CD5812" w:rsidRPr="00C67CA3">
        <w:t xml:space="preserve"> </w:t>
      </w:r>
      <w:r w:rsidR="007E7782" w:rsidRPr="00C67CA3">
        <w:t>лв.</w:t>
      </w:r>
    </w:p>
    <w:p w14:paraId="18FE8241" w14:textId="77777777" w:rsidR="00374004" w:rsidRPr="00C67CA3" w:rsidRDefault="00374004" w:rsidP="00891C26">
      <w:pPr>
        <w:pStyle w:val="Style5"/>
        <w:widowControl/>
        <w:tabs>
          <w:tab w:val="left" w:pos="142"/>
        </w:tabs>
        <w:spacing w:line="276" w:lineRule="auto"/>
        <w:ind w:left="705" w:firstLine="0"/>
        <w:rPr>
          <w:rStyle w:val="FontStyle14"/>
          <w:sz w:val="24"/>
          <w:szCs w:val="24"/>
        </w:rPr>
      </w:pPr>
    </w:p>
    <w:p w14:paraId="76D7B6C6" w14:textId="77777777" w:rsidR="00835A5A" w:rsidRPr="00C67CA3" w:rsidRDefault="007E7782" w:rsidP="00891C26">
      <w:pPr>
        <w:pStyle w:val="ListParagraph"/>
        <w:widowControl/>
        <w:numPr>
          <w:ilvl w:val="0"/>
          <w:numId w:val="35"/>
        </w:numPr>
        <w:tabs>
          <w:tab w:val="left" w:pos="851"/>
        </w:tabs>
        <w:autoSpaceDE/>
        <w:autoSpaceDN/>
        <w:adjustRightInd/>
        <w:spacing w:after="240" w:line="276" w:lineRule="auto"/>
        <w:ind w:left="851" w:hanging="284"/>
        <w:jc w:val="both"/>
        <w:rPr>
          <w:rStyle w:val="FontStyle14"/>
          <w:b/>
          <w:sz w:val="24"/>
          <w:szCs w:val="24"/>
        </w:rPr>
      </w:pPr>
      <w:r w:rsidRPr="00C67CA3">
        <w:rPr>
          <w:b/>
        </w:rPr>
        <w:t>Информация относно приходите, разпределени по отделните категории дейности, вътрешни и външни пазари, както и информация за източниците за снабдяване с материали, необходими за производството на стоки или предоставянето на услуги с отразяване степента на зависимост по отношение на всеки отделен продавач или купувач/потребител, като в случай, че относителният дял на някой от тях надхвърля 10 на сто от разходите или приходите от продажби, се предоставя информация за всяко лице поотделно, за неговия дял в продажбите или покупките и връзките му с Дружеството;</w:t>
      </w:r>
    </w:p>
    <w:p w14:paraId="4C8BCEDA" w14:textId="77777777" w:rsidR="00063EFE" w:rsidRPr="00C67CA3" w:rsidRDefault="007E7782" w:rsidP="00891C26">
      <w:pPr>
        <w:pStyle w:val="BodyText"/>
        <w:spacing w:line="276" w:lineRule="auto"/>
        <w:ind w:firstLine="851"/>
        <w:jc w:val="both"/>
      </w:pPr>
      <w:r w:rsidRPr="00C67CA3">
        <w:t xml:space="preserve">Дружеството няма сключен договор с клиент, на който относителният дял да надхвърля 10 на сто от приходите от продажби за отчетната финансова година. </w:t>
      </w:r>
      <w:r w:rsidRPr="00C67CA3">
        <w:lastRenderedPageBreak/>
        <w:t>Реализираните от Дружеството приходи са само от клие</w:t>
      </w:r>
      <w:r w:rsidR="00EC10F7">
        <w:t>нти на територията на страната.</w:t>
      </w:r>
    </w:p>
    <w:p w14:paraId="2A8B6407" w14:textId="77777777" w:rsidR="005A7B6F" w:rsidRPr="00C67CA3" w:rsidRDefault="007E7782" w:rsidP="00891C26">
      <w:pPr>
        <w:pStyle w:val="BodyText"/>
        <w:spacing w:line="276" w:lineRule="auto"/>
        <w:ind w:firstLine="851"/>
        <w:jc w:val="both"/>
      </w:pPr>
      <w:r w:rsidRPr="00C67CA3">
        <w:t xml:space="preserve">Основните покупки на Дружеството са свързани с основната му дейност – услуга по доставка на питейна вода, пречистване и отвеждане на отпадъчни води и по-конкретно електроенергия, материали и услуги, свързани с ремонт, реконструкция и изграждане на водоснабдителна и канализационна мрежа, услуги по охрана и инкасо и други. </w:t>
      </w:r>
    </w:p>
    <w:p w14:paraId="40892A6C" w14:textId="77777777" w:rsidR="001B0A54" w:rsidRPr="00A61C54" w:rsidRDefault="005A7B6F" w:rsidP="00891C26">
      <w:pPr>
        <w:pStyle w:val="BodyText"/>
        <w:spacing w:line="276" w:lineRule="auto"/>
        <w:ind w:firstLine="851"/>
        <w:jc w:val="both"/>
      </w:pPr>
      <w:r w:rsidRPr="00A61C54">
        <w:t xml:space="preserve">Дружеството няма </w:t>
      </w:r>
      <w:r w:rsidR="00A34D5E" w:rsidRPr="00A61C54">
        <w:t>покупки, чиито относителен дял надхвърля 10 на сто от разходите за 201</w:t>
      </w:r>
      <w:r w:rsidR="002762CF">
        <w:t>9</w:t>
      </w:r>
      <w:r w:rsidR="00A34D5E" w:rsidRPr="00A61C54">
        <w:t xml:space="preserve"> г. </w:t>
      </w:r>
    </w:p>
    <w:p w14:paraId="692D4ED1" w14:textId="77777777" w:rsidR="001B0A54" w:rsidRPr="00C67CA3" w:rsidRDefault="00C35549" w:rsidP="00891C26">
      <w:pPr>
        <w:pStyle w:val="BodyText"/>
        <w:spacing w:line="276" w:lineRule="auto"/>
        <w:ind w:firstLine="851"/>
        <w:jc w:val="both"/>
      </w:pPr>
      <w:r w:rsidRPr="00C67CA3">
        <w:t>Сключените договори през отчетния период не излизат от обичайната дейност на Дружеството и не се отклоняват от пазарните условия. Информация, дадена в стойностно изражение относно стоки, продукти и/или предоставени услуги е</w:t>
      </w:r>
      <w:r w:rsidR="009B3681" w:rsidRPr="00C67CA3">
        <w:t xml:space="preserve"> подробно представена във финансовия отчет на Дружеството.</w:t>
      </w:r>
    </w:p>
    <w:p w14:paraId="0A35A31D" w14:textId="77777777" w:rsidR="006164CF" w:rsidRDefault="006164CF" w:rsidP="00891C26">
      <w:pPr>
        <w:pStyle w:val="Style5"/>
        <w:widowControl/>
        <w:tabs>
          <w:tab w:val="left" w:pos="142"/>
        </w:tabs>
        <w:spacing w:line="276" w:lineRule="auto"/>
        <w:ind w:left="705" w:firstLine="0"/>
        <w:rPr>
          <w:rStyle w:val="FontStyle14"/>
          <w:sz w:val="24"/>
          <w:szCs w:val="24"/>
        </w:rPr>
      </w:pPr>
    </w:p>
    <w:p w14:paraId="3047351C" w14:textId="77777777" w:rsidR="008C300C" w:rsidRPr="00C67CA3" w:rsidRDefault="007E7782" w:rsidP="00891C26">
      <w:pPr>
        <w:pStyle w:val="ListParagraph"/>
        <w:widowControl/>
        <w:numPr>
          <w:ilvl w:val="0"/>
          <w:numId w:val="35"/>
        </w:numPr>
        <w:tabs>
          <w:tab w:val="left" w:pos="851"/>
        </w:tabs>
        <w:autoSpaceDE/>
        <w:autoSpaceDN/>
        <w:adjustRightInd/>
        <w:spacing w:after="240" w:line="276" w:lineRule="auto"/>
        <w:ind w:left="851" w:hanging="284"/>
        <w:jc w:val="both"/>
        <w:rPr>
          <w:rStyle w:val="FontStyle14"/>
          <w:b/>
          <w:sz w:val="24"/>
          <w:szCs w:val="24"/>
        </w:rPr>
      </w:pPr>
      <w:r w:rsidRPr="00C67CA3">
        <w:rPr>
          <w:rStyle w:val="FontStyle14"/>
          <w:b/>
          <w:sz w:val="24"/>
          <w:szCs w:val="24"/>
        </w:rPr>
        <w:t>Информация за сключени големи сделки и такива от съществено значение за дейността на емитента</w:t>
      </w:r>
      <w:r w:rsidR="00CC390B" w:rsidRPr="00C67CA3">
        <w:rPr>
          <w:rStyle w:val="FontStyle14"/>
          <w:b/>
          <w:sz w:val="24"/>
          <w:szCs w:val="24"/>
        </w:rPr>
        <w:t>;</w:t>
      </w:r>
    </w:p>
    <w:p w14:paraId="36CD4EA9" w14:textId="77777777" w:rsidR="006164CF" w:rsidRDefault="002043A8" w:rsidP="00891C26">
      <w:pPr>
        <w:pStyle w:val="BodyText"/>
        <w:spacing w:line="276" w:lineRule="auto"/>
        <w:ind w:firstLine="851"/>
        <w:jc w:val="both"/>
      </w:pPr>
      <w:r w:rsidRPr="00C67CA3">
        <w:t>През 201</w:t>
      </w:r>
      <w:r w:rsidR="002762CF">
        <w:t>9</w:t>
      </w:r>
      <w:r w:rsidRPr="00C67CA3">
        <w:t xml:space="preserve"> г. </w:t>
      </w:r>
      <w:r w:rsidR="00BF1194">
        <w:t>дружеството не е сключвало големи сделки и такива от съществено значение.</w:t>
      </w:r>
    </w:p>
    <w:p w14:paraId="612F870E" w14:textId="775D0005" w:rsidR="00C72BFA" w:rsidRDefault="00C72BFA" w:rsidP="00891C26">
      <w:pPr>
        <w:pStyle w:val="BodyText"/>
        <w:spacing w:after="0" w:line="276" w:lineRule="auto"/>
        <w:ind w:firstLine="851"/>
        <w:jc w:val="both"/>
      </w:pPr>
    </w:p>
    <w:p w14:paraId="3261F932" w14:textId="77777777" w:rsidR="00835A5A" w:rsidRPr="00C67CA3" w:rsidRDefault="007E7782" w:rsidP="00891C26">
      <w:pPr>
        <w:pStyle w:val="ListParagraph"/>
        <w:widowControl/>
        <w:numPr>
          <w:ilvl w:val="0"/>
          <w:numId w:val="35"/>
        </w:numPr>
        <w:tabs>
          <w:tab w:val="left" w:pos="851"/>
        </w:tabs>
        <w:autoSpaceDE/>
        <w:autoSpaceDN/>
        <w:adjustRightInd/>
        <w:spacing w:line="276" w:lineRule="auto"/>
        <w:ind w:left="851" w:hanging="284"/>
        <w:jc w:val="both"/>
        <w:rPr>
          <w:b/>
        </w:rPr>
      </w:pPr>
      <w:r w:rsidRPr="00C67CA3">
        <w:rPr>
          <w:b/>
        </w:rPr>
        <w:t>Информация относно сделките, сключени между Дружеството и свързани лица, през отчетния период, предложения за сключване на такива сделки, както и сделки, които са извън обичайната му дейност или съществено се отклоняват от пазарните условия, по които Дружеството, или негово дъщерно дружество е страна с посочване на стойността на сделките, характера на свързаността и всяка информация, необходима за оценка на въздействието върху финансовото състояние на Дружеството;</w:t>
      </w:r>
    </w:p>
    <w:p w14:paraId="73A1C535" w14:textId="77777777" w:rsidR="001B0A54" w:rsidRDefault="001B0A54" w:rsidP="00891C26">
      <w:pPr>
        <w:pStyle w:val="BodyText"/>
        <w:spacing w:after="0" w:line="276" w:lineRule="auto"/>
        <w:ind w:firstLine="567"/>
        <w:jc w:val="both"/>
      </w:pPr>
    </w:p>
    <w:p w14:paraId="405C3B2E" w14:textId="77777777" w:rsidR="00EF1CB4" w:rsidRDefault="00EF1CB4" w:rsidP="00891C26">
      <w:pPr>
        <w:pStyle w:val="BodyText"/>
        <w:spacing w:line="276" w:lineRule="auto"/>
        <w:ind w:firstLine="567"/>
        <w:jc w:val="both"/>
      </w:pPr>
      <w:r>
        <w:t>Свързаните лица на Дружеството включват ключовия управленски персонал, едноличния собственик на Дружеството и всички предприятия, свързани с държавата.</w:t>
      </w:r>
    </w:p>
    <w:p w14:paraId="2D572F46" w14:textId="77777777" w:rsidR="00EF1CB4" w:rsidRDefault="00EF1CB4" w:rsidP="00891C26">
      <w:pPr>
        <w:pStyle w:val="BodyText"/>
        <w:spacing w:line="276" w:lineRule="auto"/>
        <w:ind w:firstLine="567"/>
        <w:jc w:val="both"/>
      </w:pPr>
      <w:r>
        <w:t>Ако не е изрично упоменато, транзакциите със свързани лица не са извършвани при специални условия и не са предоставяни или получавани никакви гаранции.</w:t>
      </w:r>
    </w:p>
    <w:p w14:paraId="04BD68ED" w14:textId="77777777" w:rsidR="00EF1CB4" w:rsidRDefault="00EF1CB4" w:rsidP="00891C26">
      <w:pPr>
        <w:pStyle w:val="BodyText"/>
        <w:spacing w:line="276" w:lineRule="auto"/>
        <w:ind w:firstLine="567"/>
        <w:jc w:val="both"/>
      </w:pPr>
      <w:r>
        <w:t>Следните сделки са сключени със свързани лица:</w:t>
      </w:r>
    </w:p>
    <w:p w14:paraId="716EED10" w14:textId="77777777" w:rsidR="00EF1CB4" w:rsidRDefault="00EF1CB4" w:rsidP="00891C26">
      <w:pPr>
        <w:pStyle w:val="BodyText"/>
        <w:spacing w:line="276" w:lineRule="auto"/>
        <w:ind w:firstLine="567"/>
        <w:jc w:val="both"/>
      </w:pPr>
      <w:r>
        <w:t>а) предоставяне и ползване на услуги;</w:t>
      </w:r>
    </w:p>
    <w:p w14:paraId="165A54CC" w14:textId="77777777" w:rsidR="00CC390B" w:rsidRPr="00C67CA3" w:rsidRDefault="00CC390B" w:rsidP="00891C26">
      <w:pPr>
        <w:pStyle w:val="BodyText"/>
        <w:spacing w:after="0" w:line="276" w:lineRule="auto"/>
        <w:ind w:firstLine="851"/>
        <w:jc w:val="both"/>
        <w:rPr>
          <w:b/>
        </w:rPr>
      </w:pPr>
      <w:r w:rsidRPr="00C67CA3">
        <w:rPr>
          <w:b/>
        </w:rPr>
        <w:t>Сделки с</w:t>
      </w:r>
      <w:r w:rsidR="00D9753C">
        <w:rPr>
          <w:b/>
        </w:rPr>
        <w:t xml:space="preserve">ъс </w:t>
      </w:r>
      <w:r w:rsidRPr="00C67CA3">
        <w:rPr>
          <w:b/>
        </w:rPr>
        <w:t>свързани лица под общ контрол</w:t>
      </w:r>
    </w:p>
    <w:tbl>
      <w:tblPr>
        <w:tblW w:w="9214" w:type="dxa"/>
        <w:tblInd w:w="108" w:type="dxa"/>
        <w:tblLook w:val="0000" w:firstRow="0" w:lastRow="0" w:firstColumn="0" w:lastColumn="0" w:noHBand="0" w:noVBand="0"/>
      </w:tblPr>
      <w:tblGrid>
        <w:gridCol w:w="5812"/>
        <w:gridCol w:w="1701"/>
        <w:gridCol w:w="1701"/>
      </w:tblGrid>
      <w:tr w:rsidR="00567374" w:rsidRPr="00C67CA3" w14:paraId="084051CD" w14:textId="77777777" w:rsidTr="00567374">
        <w:trPr>
          <w:trHeight w:val="181"/>
        </w:trPr>
        <w:tc>
          <w:tcPr>
            <w:tcW w:w="5812" w:type="dxa"/>
            <w:shd w:val="clear" w:color="auto" w:fill="FFFFFF"/>
          </w:tcPr>
          <w:p w14:paraId="2273C5FE" w14:textId="77777777" w:rsidR="00567374" w:rsidRPr="00C67CA3" w:rsidRDefault="00567374" w:rsidP="00891C26">
            <w:pPr>
              <w:widowControl/>
              <w:spacing w:line="276" w:lineRule="auto"/>
              <w:rPr>
                <w:b/>
                <w:bCs/>
                <w:lang w:eastAsia="en-US"/>
              </w:rPr>
            </w:pPr>
          </w:p>
        </w:tc>
        <w:tc>
          <w:tcPr>
            <w:tcW w:w="1701" w:type="dxa"/>
            <w:shd w:val="clear" w:color="auto" w:fill="FFFFFF"/>
          </w:tcPr>
          <w:p w14:paraId="4E7F575F" w14:textId="77777777" w:rsidR="00567374" w:rsidRPr="00C67CA3" w:rsidRDefault="00567374" w:rsidP="00891C26">
            <w:pPr>
              <w:widowControl/>
              <w:spacing w:line="276" w:lineRule="auto"/>
              <w:jc w:val="right"/>
              <w:rPr>
                <w:b/>
                <w:bCs/>
                <w:lang w:eastAsia="en-US"/>
              </w:rPr>
            </w:pPr>
            <w:r w:rsidRPr="00C67CA3">
              <w:rPr>
                <w:b/>
                <w:bCs/>
                <w:lang w:eastAsia="en-US"/>
              </w:rPr>
              <w:t>201</w:t>
            </w:r>
            <w:r>
              <w:rPr>
                <w:b/>
                <w:bCs/>
                <w:lang w:eastAsia="en-US"/>
              </w:rPr>
              <w:t>9</w:t>
            </w:r>
          </w:p>
        </w:tc>
        <w:tc>
          <w:tcPr>
            <w:tcW w:w="1701" w:type="dxa"/>
            <w:shd w:val="clear" w:color="auto" w:fill="FFFFFF"/>
          </w:tcPr>
          <w:p w14:paraId="0647B6E6" w14:textId="77777777" w:rsidR="00567374" w:rsidRPr="00C67CA3" w:rsidRDefault="00567374" w:rsidP="00891C26">
            <w:pPr>
              <w:widowControl/>
              <w:spacing w:line="276" w:lineRule="auto"/>
              <w:jc w:val="right"/>
              <w:rPr>
                <w:b/>
                <w:bCs/>
                <w:lang w:eastAsia="en-US"/>
              </w:rPr>
            </w:pPr>
            <w:r w:rsidRPr="00C67CA3">
              <w:rPr>
                <w:b/>
                <w:bCs/>
                <w:lang w:eastAsia="en-US"/>
              </w:rPr>
              <w:t>201</w:t>
            </w:r>
            <w:r>
              <w:rPr>
                <w:b/>
                <w:bCs/>
                <w:lang w:eastAsia="en-US"/>
              </w:rPr>
              <w:t>8</w:t>
            </w:r>
          </w:p>
        </w:tc>
      </w:tr>
      <w:tr w:rsidR="00567374" w:rsidRPr="00C67CA3" w14:paraId="26B49467" w14:textId="77777777" w:rsidTr="00567374">
        <w:trPr>
          <w:trHeight w:val="181"/>
        </w:trPr>
        <w:tc>
          <w:tcPr>
            <w:tcW w:w="5812" w:type="dxa"/>
            <w:shd w:val="clear" w:color="auto" w:fill="FFFFFF"/>
          </w:tcPr>
          <w:p w14:paraId="268EDA73" w14:textId="77777777" w:rsidR="00567374" w:rsidRPr="00C67CA3" w:rsidRDefault="00567374" w:rsidP="00891C26">
            <w:pPr>
              <w:widowControl/>
              <w:spacing w:line="276" w:lineRule="auto"/>
              <w:rPr>
                <w:b/>
                <w:bCs/>
                <w:lang w:eastAsia="en-US"/>
              </w:rPr>
            </w:pPr>
          </w:p>
        </w:tc>
        <w:tc>
          <w:tcPr>
            <w:tcW w:w="1701" w:type="dxa"/>
            <w:shd w:val="clear" w:color="auto" w:fill="FFFFFF"/>
          </w:tcPr>
          <w:p w14:paraId="515F315D" w14:textId="77777777" w:rsidR="00567374" w:rsidRPr="00C67CA3" w:rsidRDefault="00567374" w:rsidP="00891C26">
            <w:pPr>
              <w:widowControl/>
              <w:autoSpaceDE/>
              <w:autoSpaceDN/>
              <w:adjustRightInd/>
              <w:spacing w:line="276" w:lineRule="auto"/>
              <w:jc w:val="right"/>
              <w:rPr>
                <w:lang w:eastAsia="en-US"/>
              </w:rPr>
            </w:pPr>
            <w:r w:rsidRPr="00C67CA3">
              <w:rPr>
                <w:b/>
                <w:bCs/>
                <w:lang w:eastAsia="en-US"/>
              </w:rPr>
              <w:t>‘000 лв.</w:t>
            </w:r>
          </w:p>
        </w:tc>
        <w:tc>
          <w:tcPr>
            <w:tcW w:w="1701" w:type="dxa"/>
            <w:shd w:val="clear" w:color="auto" w:fill="FFFFFF"/>
          </w:tcPr>
          <w:p w14:paraId="4BF5907B" w14:textId="77777777" w:rsidR="00567374" w:rsidRPr="00C67CA3" w:rsidRDefault="00567374" w:rsidP="00891C26">
            <w:pPr>
              <w:widowControl/>
              <w:autoSpaceDE/>
              <w:autoSpaceDN/>
              <w:adjustRightInd/>
              <w:spacing w:line="276" w:lineRule="auto"/>
              <w:jc w:val="right"/>
              <w:rPr>
                <w:lang w:eastAsia="en-US"/>
              </w:rPr>
            </w:pPr>
            <w:r w:rsidRPr="00C67CA3">
              <w:rPr>
                <w:b/>
                <w:bCs/>
                <w:lang w:eastAsia="en-US"/>
              </w:rPr>
              <w:t>‘000 лв.</w:t>
            </w:r>
          </w:p>
        </w:tc>
      </w:tr>
      <w:tr w:rsidR="00567374" w:rsidRPr="00C67CA3" w14:paraId="5A5A388B" w14:textId="77777777" w:rsidTr="00567374">
        <w:trPr>
          <w:trHeight w:val="181"/>
        </w:trPr>
        <w:tc>
          <w:tcPr>
            <w:tcW w:w="5812" w:type="dxa"/>
            <w:shd w:val="clear" w:color="auto" w:fill="FFFFFF"/>
          </w:tcPr>
          <w:p w14:paraId="78AE0576" w14:textId="77777777" w:rsidR="00567374" w:rsidRPr="00C67CA3" w:rsidRDefault="00567374" w:rsidP="00891C26">
            <w:pPr>
              <w:widowControl/>
              <w:spacing w:line="276" w:lineRule="auto"/>
              <w:rPr>
                <w:b/>
                <w:lang w:eastAsia="en-US"/>
              </w:rPr>
            </w:pPr>
            <w:r w:rsidRPr="00C67CA3">
              <w:rPr>
                <w:b/>
                <w:lang w:eastAsia="en-US"/>
              </w:rPr>
              <w:t>Продажба на услуги</w:t>
            </w:r>
          </w:p>
        </w:tc>
        <w:tc>
          <w:tcPr>
            <w:tcW w:w="1701" w:type="dxa"/>
            <w:shd w:val="clear" w:color="auto" w:fill="FFFFFF"/>
          </w:tcPr>
          <w:p w14:paraId="47147C19" w14:textId="77777777" w:rsidR="00567374" w:rsidRPr="00C67CA3" w:rsidRDefault="00567374" w:rsidP="00891C26">
            <w:pPr>
              <w:widowControl/>
              <w:spacing w:line="276" w:lineRule="auto"/>
              <w:jc w:val="right"/>
              <w:rPr>
                <w:b/>
                <w:lang w:eastAsia="en-US"/>
              </w:rPr>
            </w:pPr>
          </w:p>
        </w:tc>
        <w:tc>
          <w:tcPr>
            <w:tcW w:w="1701" w:type="dxa"/>
            <w:shd w:val="clear" w:color="auto" w:fill="FFFFFF"/>
          </w:tcPr>
          <w:p w14:paraId="77E9AB36" w14:textId="77777777" w:rsidR="00567374" w:rsidRPr="00C67CA3" w:rsidRDefault="00567374" w:rsidP="00891C26">
            <w:pPr>
              <w:widowControl/>
              <w:spacing w:line="276" w:lineRule="auto"/>
              <w:jc w:val="right"/>
              <w:rPr>
                <w:b/>
                <w:lang w:eastAsia="en-US"/>
              </w:rPr>
            </w:pPr>
          </w:p>
        </w:tc>
      </w:tr>
      <w:tr w:rsidR="00567374" w:rsidRPr="00C67CA3" w14:paraId="42558809" w14:textId="77777777" w:rsidTr="00C957E9">
        <w:trPr>
          <w:trHeight w:val="181"/>
        </w:trPr>
        <w:tc>
          <w:tcPr>
            <w:tcW w:w="5812" w:type="dxa"/>
            <w:shd w:val="clear" w:color="auto" w:fill="FFFFFF"/>
          </w:tcPr>
          <w:p w14:paraId="52380523" w14:textId="77777777" w:rsidR="00567374" w:rsidRPr="00C67CA3" w:rsidRDefault="00567374" w:rsidP="00891C26">
            <w:pPr>
              <w:widowControl/>
              <w:spacing w:line="276" w:lineRule="auto"/>
              <w:rPr>
                <w:lang w:eastAsia="en-US"/>
              </w:rPr>
            </w:pPr>
            <w:r w:rsidRPr="00C67CA3">
              <w:rPr>
                <w:lang w:eastAsia="en-US"/>
              </w:rPr>
              <w:t>- продажба на ВиК услуги на „Водоснабдяване и канализация – Варна“ ООД</w:t>
            </w:r>
          </w:p>
        </w:tc>
        <w:tc>
          <w:tcPr>
            <w:tcW w:w="1701" w:type="dxa"/>
            <w:shd w:val="clear" w:color="auto" w:fill="FFFFFF"/>
            <w:vAlign w:val="bottom"/>
          </w:tcPr>
          <w:p w14:paraId="4A29E4FC" w14:textId="77777777" w:rsidR="00567374" w:rsidRPr="00C101D7" w:rsidRDefault="00567374" w:rsidP="00891C26">
            <w:pPr>
              <w:widowControl/>
              <w:autoSpaceDE/>
              <w:autoSpaceDN/>
              <w:adjustRightInd/>
              <w:spacing w:line="276" w:lineRule="auto"/>
              <w:jc w:val="right"/>
              <w:rPr>
                <w:lang w:val="en-US"/>
              </w:rPr>
            </w:pPr>
            <w:r>
              <w:t>1 253</w:t>
            </w:r>
          </w:p>
        </w:tc>
        <w:tc>
          <w:tcPr>
            <w:tcW w:w="1701" w:type="dxa"/>
            <w:shd w:val="clear" w:color="auto" w:fill="FFFFFF"/>
            <w:vAlign w:val="bottom"/>
          </w:tcPr>
          <w:p w14:paraId="44426626" w14:textId="77777777" w:rsidR="00567374" w:rsidRPr="00C101D7" w:rsidRDefault="00567374" w:rsidP="00891C26">
            <w:pPr>
              <w:widowControl/>
              <w:autoSpaceDE/>
              <w:autoSpaceDN/>
              <w:adjustRightInd/>
              <w:spacing w:line="276" w:lineRule="auto"/>
              <w:jc w:val="right"/>
              <w:rPr>
                <w:lang w:val="en-US"/>
              </w:rPr>
            </w:pPr>
            <w:r w:rsidRPr="00C101D7">
              <w:rPr>
                <w:lang w:val="en-US"/>
              </w:rPr>
              <w:t>938</w:t>
            </w:r>
          </w:p>
        </w:tc>
      </w:tr>
      <w:tr w:rsidR="00567374" w:rsidRPr="00C67CA3" w14:paraId="22826DB1" w14:textId="77777777" w:rsidTr="00C957E9">
        <w:trPr>
          <w:trHeight w:val="181"/>
        </w:trPr>
        <w:tc>
          <w:tcPr>
            <w:tcW w:w="5812" w:type="dxa"/>
            <w:shd w:val="clear" w:color="auto" w:fill="FFFFFF"/>
          </w:tcPr>
          <w:p w14:paraId="66509F01" w14:textId="77777777" w:rsidR="00567374" w:rsidRPr="00C67CA3" w:rsidRDefault="00567374" w:rsidP="00891C26">
            <w:pPr>
              <w:widowControl/>
              <w:spacing w:line="276" w:lineRule="auto"/>
              <w:rPr>
                <w:lang w:eastAsia="en-US"/>
              </w:rPr>
            </w:pPr>
            <w:r w:rsidRPr="00C67CA3">
              <w:rPr>
                <w:lang w:eastAsia="en-US"/>
              </w:rPr>
              <w:t>- продажба на ВиК услуги на „Водоснабдяване и канализация – Сливен“ ООД</w:t>
            </w:r>
          </w:p>
        </w:tc>
        <w:tc>
          <w:tcPr>
            <w:tcW w:w="1701" w:type="dxa"/>
            <w:shd w:val="clear" w:color="auto" w:fill="FFFFFF"/>
            <w:vAlign w:val="bottom"/>
          </w:tcPr>
          <w:p w14:paraId="3DF0CC1F" w14:textId="77777777" w:rsidR="00567374" w:rsidRPr="00C101D7" w:rsidRDefault="00567374" w:rsidP="00891C26">
            <w:pPr>
              <w:widowControl/>
              <w:autoSpaceDE/>
              <w:autoSpaceDN/>
              <w:adjustRightInd/>
              <w:spacing w:line="276" w:lineRule="auto"/>
              <w:jc w:val="right"/>
              <w:rPr>
                <w:lang w:val="en-US"/>
              </w:rPr>
            </w:pPr>
            <w:r>
              <w:t>63</w:t>
            </w:r>
          </w:p>
        </w:tc>
        <w:tc>
          <w:tcPr>
            <w:tcW w:w="1701" w:type="dxa"/>
            <w:shd w:val="clear" w:color="auto" w:fill="FFFFFF"/>
            <w:vAlign w:val="bottom"/>
          </w:tcPr>
          <w:p w14:paraId="59D3842C" w14:textId="77777777" w:rsidR="00567374" w:rsidRPr="00C101D7" w:rsidRDefault="00567374" w:rsidP="00891C26">
            <w:pPr>
              <w:widowControl/>
              <w:autoSpaceDE/>
              <w:autoSpaceDN/>
              <w:adjustRightInd/>
              <w:spacing w:line="276" w:lineRule="auto"/>
              <w:jc w:val="right"/>
              <w:rPr>
                <w:lang w:val="en-US"/>
              </w:rPr>
            </w:pPr>
            <w:r w:rsidRPr="00C101D7">
              <w:rPr>
                <w:lang w:val="en-US"/>
              </w:rPr>
              <w:t>77</w:t>
            </w:r>
          </w:p>
        </w:tc>
      </w:tr>
    </w:tbl>
    <w:p w14:paraId="00B6F3C0" w14:textId="77777777" w:rsidR="00BB3188" w:rsidRDefault="00BB3188" w:rsidP="00891C26">
      <w:pPr>
        <w:spacing w:line="276" w:lineRule="auto"/>
        <w:jc w:val="both"/>
        <w:rPr>
          <w:rStyle w:val="FontStyle14"/>
          <w:sz w:val="24"/>
          <w:szCs w:val="24"/>
        </w:rPr>
      </w:pPr>
    </w:p>
    <w:p w14:paraId="0D7BF604" w14:textId="77777777" w:rsidR="00CC390B" w:rsidRPr="00C67CA3" w:rsidRDefault="00CC390B" w:rsidP="00891C26">
      <w:pPr>
        <w:spacing w:after="120" w:line="276" w:lineRule="auto"/>
        <w:ind w:firstLine="851"/>
        <w:jc w:val="both"/>
        <w:rPr>
          <w:rStyle w:val="FontStyle14"/>
          <w:b/>
          <w:sz w:val="24"/>
          <w:szCs w:val="24"/>
        </w:rPr>
      </w:pPr>
      <w:r w:rsidRPr="00C67CA3">
        <w:rPr>
          <w:rStyle w:val="FontStyle14"/>
          <w:b/>
          <w:sz w:val="24"/>
          <w:szCs w:val="24"/>
        </w:rPr>
        <w:lastRenderedPageBreak/>
        <w:t>Сделки с ключов управленски персонал</w:t>
      </w:r>
    </w:p>
    <w:p w14:paraId="6799B633" w14:textId="77777777" w:rsidR="00CC390B" w:rsidRDefault="00CC390B" w:rsidP="00891C26">
      <w:pPr>
        <w:pStyle w:val="BodyText"/>
        <w:spacing w:line="276" w:lineRule="auto"/>
        <w:ind w:firstLine="851"/>
        <w:jc w:val="both"/>
        <w:rPr>
          <w:rStyle w:val="FontStyle14"/>
          <w:sz w:val="24"/>
          <w:szCs w:val="24"/>
        </w:rPr>
      </w:pPr>
      <w:r w:rsidRPr="00C67CA3">
        <w:rPr>
          <w:rStyle w:val="FontStyle14"/>
          <w:sz w:val="24"/>
          <w:szCs w:val="24"/>
        </w:rPr>
        <w:t xml:space="preserve">Ключовият </w:t>
      </w:r>
      <w:r w:rsidRPr="00BB3188">
        <w:t>управленски</w:t>
      </w:r>
      <w:r w:rsidRPr="00C67CA3">
        <w:rPr>
          <w:rStyle w:val="FontStyle14"/>
          <w:sz w:val="24"/>
          <w:szCs w:val="24"/>
        </w:rPr>
        <w:t xml:space="preserve"> персонал на Дружеството включва членовете на Съвета на директорите. Възнагражденията на ключовия управленски персонал включват следните разходи:</w:t>
      </w:r>
    </w:p>
    <w:tbl>
      <w:tblPr>
        <w:tblW w:w="9214" w:type="dxa"/>
        <w:tblInd w:w="70" w:type="dxa"/>
        <w:tblCellMar>
          <w:left w:w="70" w:type="dxa"/>
          <w:right w:w="70" w:type="dxa"/>
        </w:tblCellMar>
        <w:tblLook w:val="00A0" w:firstRow="1" w:lastRow="0" w:firstColumn="1" w:lastColumn="0" w:noHBand="0" w:noVBand="0"/>
      </w:tblPr>
      <w:tblGrid>
        <w:gridCol w:w="5812"/>
        <w:gridCol w:w="1701"/>
        <w:gridCol w:w="1701"/>
      </w:tblGrid>
      <w:tr w:rsidR="00567374" w:rsidRPr="00A5405D" w14:paraId="66398C0F" w14:textId="77777777" w:rsidTr="00567374">
        <w:trPr>
          <w:trHeight w:val="181"/>
        </w:trPr>
        <w:tc>
          <w:tcPr>
            <w:tcW w:w="5812" w:type="dxa"/>
            <w:tcBorders>
              <w:top w:val="nil"/>
              <w:left w:val="nil"/>
              <w:bottom w:val="nil"/>
              <w:right w:val="nil"/>
            </w:tcBorders>
            <w:noWrap/>
            <w:vAlign w:val="bottom"/>
          </w:tcPr>
          <w:p w14:paraId="0EEFACAF" w14:textId="77777777" w:rsidR="00567374" w:rsidRPr="0074727D" w:rsidRDefault="00567374" w:rsidP="00891C26">
            <w:pPr>
              <w:spacing w:line="276" w:lineRule="auto"/>
            </w:pPr>
          </w:p>
        </w:tc>
        <w:tc>
          <w:tcPr>
            <w:tcW w:w="1701" w:type="dxa"/>
            <w:tcBorders>
              <w:top w:val="nil"/>
              <w:left w:val="nil"/>
              <w:bottom w:val="nil"/>
              <w:right w:val="nil"/>
            </w:tcBorders>
            <w:shd w:val="clear" w:color="000000" w:fill="FFFFFF"/>
            <w:noWrap/>
          </w:tcPr>
          <w:p w14:paraId="1BC07FAE" w14:textId="77777777" w:rsidR="00567374" w:rsidRPr="0074727D" w:rsidRDefault="00567374" w:rsidP="00891C26">
            <w:pPr>
              <w:spacing w:line="276" w:lineRule="auto"/>
              <w:jc w:val="right"/>
              <w:rPr>
                <w:b/>
                <w:bCs/>
              </w:rPr>
            </w:pPr>
            <w:r w:rsidRPr="0074727D">
              <w:rPr>
                <w:b/>
                <w:bCs/>
              </w:rPr>
              <w:t>201</w:t>
            </w:r>
            <w:r>
              <w:rPr>
                <w:b/>
                <w:bCs/>
              </w:rPr>
              <w:t>9</w:t>
            </w:r>
          </w:p>
        </w:tc>
        <w:tc>
          <w:tcPr>
            <w:tcW w:w="1701" w:type="dxa"/>
            <w:tcBorders>
              <w:top w:val="nil"/>
              <w:left w:val="nil"/>
              <w:bottom w:val="nil"/>
              <w:right w:val="nil"/>
            </w:tcBorders>
            <w:shd w:val="clear" w:color="000000" w:fill="FFFFFF"/>
          </w:tcPr>
          <w:p w14:paraId="42EF0257" w14:textId="77777777" w:rsidR="00567374" w:rsidRPr="0074727D" w:rsidRDefault="00567374" w:rsidP="00891C26">
            <w:pPr>
              <w:spacing w:line="276" w:lineRule="auto"/>
              <w:jc w:val="right"/>
              <w:rPr>
                <w:b/>
                <w:bCs/>
              </w:rPr>
            </w:pPr>
            <w:r w:rsidRPr="0074727D">
              <w:rPr>
                <w:b/>
                <w:bCs/>
              </w:rPr>
              <w:t>201</w:t>
            </w:r>
            <w:r>
              <w:rPr>
                <w:b/>
                <w:bCs/>
                <w:lang w:val="en-GB"/>
              </w:rPr>
              <w:t>8</w:t>
            </w:r>
          </w:p>
        </w:tc>
      </w:tr>
      <w:tr w:rsidR="00567374" w:rsidRPr="00A5405D" w14:paraId="59338929" w14:textId="77777777" w:rsidTr="00567374">
        <w:trPr>
          <w:trHeight w:val="181"/>
        </w:trPr>
        <w:tc>
          <w:tcPr>
            <w:tcW w:w="5812" w:type="dxa"/>
            <w:tcBorders>
              <w:top w:val="nil"/>
              <w:left w:val="nil"/>
              <w:bottom w:val="nil"/>
              <w:right w:val="nil"/>
            </w:tcBorders>
            <w:noWrap/>
            <w:vAlign w:val="bottom"/>
          </w:tcPr>
          <w:p w14:paraId="48BF0E17" w14:textId="77777777" w:rsidR="00567374" w:rsidRPr="0074727D" w:rsidRDefault="00567374" w:rsidP="00891C26">
            <w:pPr>
              <w:spacing w:line="276" w:lineRule="auto"/>
            </w:pPr>
          </w:p>
        </w:tc>
        <w:tc>
          <w:tcPr>
            <w:tcW w:w="1701" w:type="dxa"/>
            <w:tcBorders>
              <w:top w:val="nil"/>
              <w:left w:val="nil"/>
              <w:bottom w:val="nil"/>
              <w:right w:val="nil"/>
            </w:tcBorders>
            <w:shd w:val="clear" w:color="000000" w:fill="FFFFFF"/>
            <w:noWrap/>
          </w:tcPr>
          <w:p w14:paraId="648C5EBF" w14:textId="77777777" w:rsidR="00567374" w:rsidRPr="0074727D" w:rsidRDefault="00567374" w:rsidP="00891C26">
            <w:pPr>
              <w:spacing w:line="276" w:lineRule="auto"/>
              <w:jc w:val="right"/>
              <w:rPr>
                <w:b/>
                <w:bCs/>
              </w:rPr>
            </w:pPr>
            <w:r w:rsidRPr="0074727D">
              <w:rPr>
                <w:b/>
                <w:bCs/>
              </w:rPr>
              <w:t>‘000 лв.</w:t>
            </w:r>
          </w:p>
        </w:tc>
        <w:tc>
          <w:tcPr>
            <w:tcW w:w="1701" w:type="dxa"/>
            <w:tcBorders>
              <w:top w:val="nil"/>
              <w:left w:val="nil"/>
              <w:bottom w:val="nil"/>
              <w:right w:val="nil"/>
            </w:tcBorders>
            <w:shd w:val="clear" w:color="000000" w:fill="FFFFFF"/>
          </w:tcPr>
          <w:p w14:paraId="781BAFC8" w14:textId="77777777" w:rsidR="00567374" w:rsidRPr="0074727D" w:rsidRDefault="00567374" w:rsidP="00891C26">
            <w:pPr>
              <w:spacing w:line="276" w:lineRule="auto"/>
              <w:jc w:val="right"/>
              <w:rPr>
                <w:b/>
                <w:bCs/>
              </w:rPr>
            </w:pPr>
            <w:r w:rsidRPr="0074727D">
              <w:rPr>
                <w:b/>
                <w:bCs/>
              </w:rPr>
              <w:t>‘000 лв.</w:t>
            </w:r>
          </w:p>
        </w:tc>
      </w:tr>
      <w:tr w:rsidR="00567374" w:rsidRPr="00A5405D" w14:paraId="4EDD083A" w14:textId="77777777" w:rsidTr="00567374">
        <w:trPr>
          <w:trHeight w:val="181"/>
        </w:trPr>
        <w:tc>
          <w:tcPr>
            <w:tcW w:w="5812" w:type="dxa"/>
            <w:tcBorders>
              <w:top w:val="nil"/>
              <w:left w:val="nil"/>
              <w:bottom w:val="nil"/>
              <w:right w:val="nil"/>
            </w:tcBorders>
            <w:noWrap/>
            <w:vAlign w:val="bottom"/>
          </w:tcPr>
          <w:p w14:paraId="2921CD53" w14:textId="77777777" w:rsidR="00567374" w:rsidRPr="0074727D" w:rsidRDefault="00567374" w:rsidP="00891C26">
            <w:pPr>
              <w:spacing w:line="276" w:lineRule="auto"/>
            </w:pPr>
          </w:p>
        </w:tc>
        <w:tc>
          <w:tcPr>
            <w:tcW w:w="1701" w:type="dxa"/>
            <w:tcBorders>
              <w:top w:val="nil"/>
              <w:left w:val="nil"/>
              <w:bottom w:val="nil"/>
              <w:right w:val="nil"/>
            </w:tcBorders>
            <w:shd w:val="clear" w:color="000000" w:fill="FFFFFF"/>
            <w:noWrap/>
          </w:tcPr>
          <w:p w14:paraId="10CEC46B" w14:textId="77777777" w:rsidR="00567374" w:rsidRPr="0074727D" w:rsidRDefault="00567374" w:rsidP="00891C26">
            <w:pPr>
              <w:spacing w:line="276" w:lineRule="auto"/>
              <w:jc w:val="right"/>
              <w:rPr>
                <w:b/>
                <w:bCs/>
              </w:rPr>
            </w:pPr>
          </w:p>
        </w:tc>
        <w:tc>
          <w:tcPr>
            <w:tcW w:w="1701" w:type="dxa"/>
            <w:tcBorders>
              <w:top w:val="nil"/>
              <w:left w:val="nil"/>
              <w:bottom w:val="nil"/>
              <w:right w:val="nil"/>
            </w:tcBorders>
            <w:shd w:val="clear" w:color="000000" w:fill="FFFFFF"/>
          </w:tcPr>
          <w:p w14:paraId="6751F97C" w14:textId="77777777" w:rsidR="00567374" w:rsidRPr="0074727D" w:rsidRDefault="00567374" w:rsidP="00891C26">
            <w:pPr>
              <w:spacing w:line="276" w:lineRule="auto"/>
              <w:jc w:val="right"/>
              <w:rPr>
                <w:b/>
                <w:bCs/>
              </w:rPr>
            </w:pPr>
          </w:p>
        </w:tc>
      </w:tr>
      <w:tr w:rsidR="00567374" w:rsidRPr="00A5405D" w14:paraId="26F2B5FD" w14:textId="77777777" w:rsidTr="00567374">
        <w:trPr>
          <w:trHeight w:val="181"/>
        </w:trPr>
        <w:tc>
          <w:tcPr>
            <w:tcW w:w="5812" w:type="dxa"/>
            <w:tcBorders>
              <w:top w:val="nil"/>
              <w:left w:val="nil"/>
              <w:bottom w:val="nil"/>
              <w:right w:val="nil"/>
            </w:tcBorders>
            <w:shd w:val="clear" w:color="000000" w:fill="FFFFFF"/>
          </w:tcPr>
          <w:p w14:paraId="10916E6B" w14:textId="77777777" w:rsidR="00567374" w:rsidRPr="0074727D" w:rsidRDefault="00567374" w:rsidP="00891C26">
            <w:pPr>
              <w:spacing w:line="276" w:lineRule="auto"/>
            </w:pPr>
            <w:r w:rsidRPr="0074727D">
              <w:t>Краткосрочни възнаграждения:</w:t>
            </w:r>
          </w:p>
        </w:tc>
        <w:tc>
          <w:tcPr>
            <w:tcW w:w="1701" w:type="dxa"/>
            <w:tcBorders>
              <w:top w:val="nil"/>
              <w:left w:val="nil"/>
              <w:bottom w:val="nil"/>
              <w:right w:val="nil"/>
            </w:tcBorders>
            <w:shd w:val="clear" w:color="000000" w:fill="FFFFFF"/>
          </w:tcPr>
          <w:p w14:paraId="3645AE14" w14:textId="77777777" w:rsidR="00567374" w:rsidRPr="0074727D" w:rsidRDefault="00567374" w:rsidP="00891C26">
            <w:pPr>
              <w:spacing w:line="276" w:lineRule="auto"/>
              <w:jc w:val="right"/>
            </w:pPr>
            <w:r w:rsidRPr="0074727D">
              <w:t> </w:t>
            </w:r>
          </w:p>
        </w:tc>
        <w:tc>
          <w:tcPr>
            <w:tcW w:w="1701" w:type="dxa"/>
            <w:tcBorders>
              <w:top w:val="nil"/>
              <w:left w:val="nil"/>
              <w:bottom w:val="nil"/>
              <w:right w:val="nil"/>
            </w:tcBorders>
            <w:shd w:val="clear" w:color="000000" w:fill="FFFFFF"/>
          </w:tcPr>
          <w:p w14:paraId="2A33F961" w14:textId="77777777" w:rsidR="00567374" w:rsidRPr="0074727D" w:rsidRDefault="00567374" w:rsidP="00891C26">
            <w:pPr>
              <w:spacing w:line="276" w:lineRule="auto"/>
              <w:jc w:val="right"/>
            </w:pPr>
            <w:r w:rsidRPr="0074727D">
              <w:t> </w:t>
            </w:r>
          </w:p>
        </w:tc>
      </w:tr>
      <w:tr w:rsidR="00567374" w:rsidRPr="00A5405D" w14:paraId="4627FA22" w14:textId="77777777" w:rsidTr="00567374">
        <w:trPr>
          <w:trHeight w:val="181"/>
        </w:trPr>
        <w:tc>
          <w:tcPr>
            <w:tcW w:w="5812" w:type="dxa"/>
            <w:tcBorders>
              <w:top w:val="nil"/>
              <w:left w:val="nil"/>
              <w:bottom w:val="nil"/>
              <w:right w:val="nil"/>
            </w:tcBorders>
            <w:shd w:val="clear" w:color="000000" w:fill="FFFFFF"/>
          </w:tcPr>
          <w:p w14:paraId="483C63C8" w14:textId="77777777" w:rsidR="00567374" w:rsidRPr="0074727D" w:rsidRDefault="00567374" w:rsidP="00891C26">
            <w:pPr>
              <w:spacing w:line="276" w:lineRule="auto"/>
              <w:ind w:firstLineChars="100" w:firstLine="240"/>
            </w:pPr>
            <w:r w:rsidRPr="0074727D">
              <w:t>Заплати, включително  бонуси</w:t>
            </w:r>
          </w:p>
        </w:tc>
        <w:tc>
          <w:tcPr>
            <w:tcW w:w="1701" w:type="dxa"/>
            <w:tcBorders>
              <w:top w:val="nil"/>
              <w:left w:val="nil"/>
              <w:bottom w:val="nil"/>
              <w:right w:val="nil"/>
            </w:tcBorders>
            <w:shd w:val="clear" w:color="000000" w:fill="FFFFFF"/>
          </w:tcPr>
          <w:p w14:paraId="4FCCC453" w14:textId="77777777" w:rsidR="00567374" w:rsidRPr="00C101D7" w:rsidRDefault="00567374" w:rsidP="00891C26">
            <w:pPr>
              <w:spacing w:line="276" w:lineRule="auto"/>
              <w:jc w:val="right"/>
              <w:rPr>
                <w:lang w:val="en-US"/>
              </w:rPr>
            </w:pPr>
            <w:r w:rsidRPr="00C101D7">
              <w:rPr>
                <w:lang w:val="en-US"/>
              </w:rPr>
              <w:t>1</w:t>
            </w:r>
            <w:r>
              <w:t>81</w:t>
            </w:r>
          </w:p>
        </w:tc>
        <w:tc>
          <w:tcPr>
            <w:tcW w:w="1701" w:type="dxa"/>
            <w:tcBorders>
              <w:top w:val="nil"/>
              <w:left w:val="nil"/>
              <w:bottom w:val="nil"/>
              <w:right w:val="nil"/>
            </w:tcBorders>
            <w:shd w:val="clear" w:color="000000" w:fill="FFFFFF"/>
          </w:tcPr>
          <w:p w14:paraId="7D9487BB" w14:textId="77777777" w:rsidR="00567374" w:rsidRPr="00C101D7" w:rsidRDefault="00567374" w:rsidP="00891C26">
            <w:pPr>
              <w:spacing w:line="276" w:lineRule="auto"/>
              <w:jc w:val="right"/>
              <w:rPr>
                <w:lang w:val="en-US"/>
              </w:rPr>
            </w:pPr>
            <w:r w:rsidRPr="00C101D7">
              <w:rPr>
                <w:lang w:val="en-US"/>
              </w:rPr>
              <w:t>167</w:t>
            </w:r>
          </w:p>
        </w:tc>
      </w:tr>
      <w:tr w:rsidR="00567374" w:rsidRPr="00A5405D" w14:paraId="10ED1AFE" w14:textId="77777777" w:rsidTr="00567374">
        <w:trPr>
          <w:trHeight w:val="181"/>
        </w:trPr>
        <w:tc>
          <w:tcPr>
            <w:tcW w:w="5812" w:type="dxa"/>
            <w:tcBorders>
              <w:top w:val="nil"/>
              <w:left w:val="nil"/>
              <w:bottom w:val="nil"/>
              <w:right w:val="nil"/>
            </w:tcBorders>
            <w:shd w:val="clear" w:color="000000" w:fill="FFFFFF"/>
          </w:tcPr>
          <w:p w14:paraId="06B3C518" w14:textId="77777777" w:rsidR="00567374" w:rsidRPr="0074727D" w:rsidRDefault="00567374" w:rsidP="00891C26">
            <w:pPr>
              <w:spacing w:line="276" w:lineRule="auto"/>
              <w:ind w:firstLineChars="100" w:firstLine="240"/>
            </w:pPr>
            <w:r w:rsidRPr="0074727D">
              <w:t>Разходи за социални осигуровки</w:t>
            </w:r>
          </w:p>
        </w:tc>
        <w:tc>
          <w:tcPr>
            <w:tcW w:w="1701" w:type="dxa"/>
            <w:tcBorders>
              <w:top w:val="nil"/>
              <w:left w:val="nil"/>
              <w:right w:val="nil"/>
            </w:tcBorders>
            <w:shd w:val="clear" w:color="000000" w:fill="FFFFFF"/>
          </w:tcPr>
          <w:p w14:paraId="399CDBEC" w14:textId="77777777" w:rsidR="00567374" w:rsidRPr="00C101D7" w:rsidRDefault="00567374" w:rsidP="00891C26">
            <w:pPr>
              <w:spacing w:line="276" w:lineRule="auto"/>
              <w:jc w:val="right"/>
              <w:rPr>
                <w:lang w:val="en-US"/>
              </w:rPr>
            </w:pPr>
            <w:r w:rsidRPr="00C101D7">
              <w:rPr>
                <w:lang w:val="en-US"/>
              </w:rPr>
              <w:t>1</w:t>
            </w:r>
            <w:r>
              <w:t>5</w:t>
            </w:r>
          </w:p>
        </w:tc>
        <w:tc>
          <w:tcPr>
            <w:tcW w:w="1701" w:type="dxa"/>
            <w:tcBorders>
              <w:top w:val="nil"/>
              <w:left w:val="nil"/>
              <w:right w:val="nil"/>
            </w:tcBorders>
            <w:shd w:val="clear" w:color="000000" w:fill="FFFFFF"/>
          </w:tcPr>
          <w:p w14:paraId="51ADBB09" w14:textId="77777777" w:rsidR="00567374" w:rsidRPr="00C101D7" w:rsidRDefault="00567374" w:rsidP="00891C26">
            <w:pPr>
              <w:spacing w:line="276" w:lineRule="auto"/>
              <w:jc w:val="right"/>
              <w:rPr>
                <w:lang w:val="en-US"/>
              </w:rPr>
            </w:pPr>
            <w:r w:rsidRPr="00C101D7">
              <w:rPr>
                <w:lang w:val="en-US"/>
              </w:rPr>
              <w:t>12</w:t>
            </w:r>
          </w:p>
        </w:tc>
      </w:tr>
      <w:tr w:rsidR="00567374" w:rsidRPr="00A5405D" w14:paraId="567C3F3E" w14:textId="77777777" w:rsidTr="00567374">
        <w:trPr>
          <w:trHeight w:val="180"/>
        </w:trPr>
        <w:tc>
          <w:tcPr>
            <w:tcW w:w="5812" w:type="dxa"/>
            <w:tcBorders>
              <w:top w:val="nil"/>
              <w:left w:val="nil"/>
              <w:bottom w:val="nil"/>
              <w:right w:val="nil"/>
            </w:tcBorders>
            <w:shd w:val="clear" w:color="000000" w:fill="FFFFFF"/>
          </w:tcPr>
          <w:p w14:paraId="73314A20" w14:textId="77777777" w:rsidR="00567374" w:rsidRPr="0074727D" w:rsidRDefault="00567374" w:rsidP="00891C26">
            <w:pPr>
              <w:spacing w:line="276" w:lineRule="auto"/>
              <w:rPr>
                <w:b/>
              </w:rPr>
            </w:pPr>
            <w:r w:rsidRPr="0074727D">
              <w:rPr>
                <w:b/>
              </w:rPr>
              <w:t>Общо краткосрочни възнаграждения</w:t>
            </w:r>
          </w:p>
        </w:tc>
        <w:tc>
          <w:tcPr>
            <w:tcW w:w="1701" w:type="dxa"/>
            <w:tcBorders>
              <w:top w:val="single" w:sz="2" w:space="0" w:color="auto"/>
              <w:left w:val="nil"/>
              <w:bottom w:val="single" w:sz="2" w:space="0" w:color="auto"/>
              <w:right w:val="nil"/>
            </w:tcBorders>
            <w:shd w:val="clear" w:color="000000" w:fill="FFFFFF"/>
          </w:tcPr>
          <w:p w14:paraId="44F5B53F" w14:textId="77777777" w:rsidR="00567374" w:rsidRPr="00C101D7" w:rsidRDefault="00567374" w:rsidP="00891C26">
            <w:pPr>
              <w:spacing w:line="276" w:lineRule="auto"/>
              <w:jc w:val="right"/>
              <w:rPr>
                <w:b/>
                <w:lang w:val="en-US"/>
              </w:rPr>
            </w:pPr>
            <w:r w:rsidRPr="00C101D7">
              <w:rPr>
                <w:b/>
                <w:lang w:val="en-US"/>
              </w:rPr>
              <w:t>1</w:t>
            </w:r>
            <w:r>
              <w:rPr>
                <w:b/>
              </w:rPr>
              <w:t>96</w:t>
            </w:r>
          </w:p>
        </w:tc>
        <w:tc>
          <w:tcPr>
            <w:tcW w:w="1701" w:type="dxa"/>
            <w:tcBorders>
              <w:top w:val="single" w:sz="2" w:space="0" w:color="auto"/>
              <w:left w:val="nil"/>
              <w:bottom w:val="single" w:sz="2" w:space="0" w:color="auto"/>
              <w:right w:val="nil"/>
            </w:tcBorders>
            <w:shd w:val="clear" w:color="000000" w:fill="FFFFFF"/>
          </w:tcPr>
          <w:p w14:paraId="21370309" w14:textId="77777777" w:rsidR="00567374" w:rsidRPr="00C101D7" w:rsidRDefault="00567374" w:rsidP="00891C26">
            <w:pPr>
              <w:spacing w:line="276" w:lineRule="auto"/>
              <w:jc w:val="right"/>
              <w:rPr>
                <w:b/>
                <w:lang w:val="en-US"/>
              </w:rPr>
            </w:pPr>
            <w:r w:rsidRPr="00C101D7">
              <w:rPr>
                <w:b/>
                <w:lang w:val="en-US"/>
              </w:rPr>
              <w:t>179</w:t>
            </w:r>
          </w:p>
        </w:tc>
      </w:tr>
      <w:tr w:rsidR="00567374" w:rsidRPr="00A5405D" w14:paraId="011629DF" w14:textId="77777777" w:rsidTr="00567374">
        <w:trPr>
          <w:trHeight w:val="181"/>
        </w:trPr>
        <w:tc>
          <w:tcPr>
            <w:tcW w:w="5812" w:type="dxa"/>
            <w:tcBorders>
              <w:top w:val="nil"/>
              <w:left w:val="nil"/>
              <w:bottom w:val="nil"/>
              <w:right w:val="nil"/>
            </w:tcBorders>
            <w:shd w:val="clear" w:color="000000" w:fill="FFFFFF"/>
          </w:tcPr>
          <w:p w14:paraId="01D9398B" w14:textId="77777777" w:rsidR="00567374" w:rsidRPr="0074727D" w:rsidRDefault="00567374" w:rsidP="00891C26">
            <w:pPr>
              <w:spacing w:line="276" w:lineRule="auto"/>
              <w:rPr>
                <w:b/>
                <w:bCs/>
              </w:rPr>
            </w:pPr>
            <w:r w:rsidRPr="0074727D">
              <w:rPr>
                <w:b/>
                <w:bCs/>
              </w:rPr>
              <w:t>Общо възнаграждения</w:t>
            </w:r>
          </w:p>
        </w:tc>
        <w:tc>
          <w:tcPr>
            <w:tcW w:w="1701" w:type="dxa"/>
            <w:tcBorders>
              <w:top w:val="single" w:sz="2" w:space="0" w:color="auto"/>
              <w:left w:val="nil"/>
              <w:bottom w:val="double" w:sz="4" w:space="0" w:color="auto"/>
              <w:right w:val="nil"/>
            </w:tcBorders>
            <w:shd w:val="clear" w:color="000000" w:fill="FFFFFF"/>
          </w:tcPr>
          <w:p w14:paraId="058130FD" w14:textId="77777777" w:rsidR="00567374" w:rsidRPr="00147A67" w:rsidRDefault="00567374" w:rsidP="00891C26">
            <w:pPr>
              <w:spacing w:line="276" w:lineRule="auto"/>
              <w:jc w:val="right"/>
              <w:rPr>
                <w:b/>
                <w:bCs/>
                <w:lang w:val="en-US"/>
              </w:rPr>
            </w:pPr>
            <w:r w:rsidRPr="00C101D7">
              <w:rPr>
                <w:b/>
                <w:bCs/>
                <w:lang w:val="en-US"/>
              </w:rPr>
              <w:t>1</w:t>
            </w:r>
            <w:r>
              <w:rPr>
                <w:b/>
                <w:bCs/>
              </w:rPr>
              <w:t>96</w:t>
            </w:r>
          </w:p>
        </w:tc>
        <w:tc>
          <w:tcPr>
            <w:tcW w:w="1701" w:type="dxa"/>
            <w:tcBorders>
              <w:top w:val="single" w:sz="2" w:space="0" w:color="auto"/>
              <w:left w:val="nil"/>
              <w:bottom w:val="double" w:sz="4" w:space="0" w:color="auto"/>
              <w:right w:val="nil"/>
            </w:tcBorders>
            <w:shd w:val="clear" w:color="000000" w:fill="FFFFFF"/>
          </w:tcPr>
          <w:p w14:paraId="484102D3" w14:textId="77777777" w:rsidR="00567374" w:rsidRPr="00147A67" w:rsidRDefault="00567374" w:rsidP="00891C26">
            <w:pPr>
              <w:spacing w:line="276" w:lineRule="auto"/>
              <w:jc w:val="right"/>
              <w:rPr>
                <w:b/>
                <w:bCs/>
                <w:lang w:val="en-US"/>
              </w:rPr>
            </w:pPr>
            <w:r w:rsidRPr="00C101D7">
              <w:rPr>
                <w:b/>
                <w:bCs/>
                <w:lang w:val="en-US"/>
              </w:rPr>
              <w:t>179</w:t>
            </w:r>
          </w:p>
        </w:tc>
      </w:tr>
    </w:tbl>
    <w:p w14:paraId="4A50F04E" w14:textId="2DE01774" w:rsidR="00A211C4" w:rsidRDefault="00A211C4" w:rsidP="00891C26">
      <w:pPr>
        <w:pStyle w:val="BodyText"/>
        <w:spacing w:line="276" w:lineRule="auto"/>
        <w:ind w:firstLine="851"/>
        <w:jc w:val="both"/>
        <w:rPr>
          <w:rStyle w:val="FontStyle14"/>
          <w:sz w:val="24"/>
          <w:szCs w:val="24"/>
        </w:rPr>
      </w:pPr>
    </w:p>
    <w:p w14:paraId="43DCBA79" w14:textId="77777777" w:rsidR="004063E6" w:rsidRDefault="004063E6" w:rsidP="00891C26">
      <w:pPr>
        <w:spacing w:after="120" w:line="276" w:lineRule="auto"/>
        <w:ind w:firstLine="851"/>
        <w:jc w:val="both"/>
        <w:rPr>
          <w:rStyle w:val="FontStyle14"/>
          <w:b/>
          <w:sz w:val="24"/>
          <w:szCs w:val="24"/>
        </w:rPr>
      </w:pPr>
      <w:r w:rsidRPr="00C67CA3">
        <w:rPr>
          <w:rStyle w:val="FontStyle14"/>
          <w:b/>
          <w:sz w:val="24"/>
          <w:szCs w:val="24"/>
        </w:rPr>
        <w:t>Разчети със свързани лица в края на годината</w:t>
      </w:r>
    </w:p>
    <w:tbl>
      <w:tblPr>
        <w:tblW w:w="9072" w:type="dxa"/>
        <w:tblInd w:w="108" w:type="dxa"/>
        <w:tblLayout w:type="fixed"/>
        <w:tblLook w:val="0000" w:firstRow="0" w:lastRow="0" w:firstColumn="0" w:lastColumn="0" w:noHBand="0" w:noVBand="0"/>
      </w:tblPr>
      <w:tblGrid>
        <w:gridCol w:w="5529"/>
        <w:gridCol w:w="283"/>
        <w:gridCol w:w="1701"/>
        <w:gridCol w:w="1559"/>
      </w:tblGrid>
      <w:tr w:rsidR="00953856" w:rsidRPr="00110769" w14:paraId="6B9A1A07" w14:textId="77777777" w:rsidTr="001973AB">
        <w:trPr>
          <w:trHeight w:val="181"/>
          <w:tblHeader/>
        </w:trPr>
        <w:tc>
          <w:tcPr>
            <w:tcW w:w="5529" w:type="dxa"/>
            <w:shd w:val="clear" w:color="auto" w:fill="FFFFFF"/>
          </w:tcPr>
          <w:p w14:paraId="05EA8D5A" w14:textId="77777777" w:rsidR="00953856" w:rsidRPr="00110769" w:rsidRDefault="00953856" w:rsidP="00891C26">
            <w:pPr>
              <w:spacing w:line="276" w:lineRule="auto"/>
              <w:rPr>
                <w:b/>
                <w:bCs/>
              </w:rPr>
            </w:pPr>
          </w:p>
        </w:tc>
        <w:tc>
          <w:tcPr>
            <w:tcW w:w="283" w:type="dxa"/>
            <w:shd w:val="clear" w:color="auto" w:fill="FFFFFF"/>
          </w:tcPr>
          <w:p w14:paraId="123D5D8F" w14:textId="77777777" w:rsidR="00953856" w:rsidRPr="00110769" w:rsidRDefault="00953856" w:rsidP="00891C26">
            <w:pPr>
              <w:spacing w:line="276" w:lineRule="auto"/>
              <w:jc w:val="right"/>
              <w:rPr>
                <w:b/>
                <w:bCs/>
              </w:rPr>
            </w:pPr>
          </w:p>
        </w:tc>
        <w:tc>
          <w:tcPr>
            <w:tcW w:w="1701" w:type="dxa"/>
            <w:shd w:val="clear" w:color="auto" w:fill="FFFFFF"/>
          </w:tcPr>
          <w:p w14:paraId="573B02B3" w14:textId="77777777" w:rsidR="00953856" w:rsidRPr="00110769" w:rsidRDefault="00953856" w:rsidP="00891C26">
            <w:pPr>
              <w:spacing w:line="276" w:lineRule="auto"/>
              <w:jc w:val="right"/>
              <w:rPr>
                <w:b/>
                <w:bCs/>
              </w:rPr>
            </w:pPr>
            <w:r w:rsidRPr="00110769">
              <w:rPr>
                <w:b/>
                <w:bCs/>
              </w:rPr>
              <w:t>201</w:t>
            </w:r>
            <w:r w:rsidR="00567374">
              <w:rPr>
                <w:b/>
                <w:bCs/>
              </w:rPr>
              <w:t>9</w:t>
            </w:r>
          </w:p>
        </w:tc>
        <w:tc>
          <w:tcPr>
            <w:tcW w:w="1559" w:type="dxa"/>
            <w:shd w:val="clear" w:color="auto" w:fill="FFFFFF"/>
          </w:tcPr>
          <w:p w14:paraId="0DE37F5F" w14:textId="77777777" w:rsidR="00953856" w:rsidRPr="00110769" w:rsidRDefault="00953856" w:rsidP="00891C26">
            <w:pPr>
              <w:spacing w:line="276" w:lineRule="auto"/>
              <w:jc w:val="right"/>
              <w:rPr>
                <w:b/>
                <w:bCs/>
              </w:rPr>
            </w:pPr>
            <w:r w:rsidRPr="00110769">
              <w:rPr>
                <w:b/>
                <w:bCs/>
              </w:rPr>
              <w:t>201</w:t>
            </w:r>
            <w:r w:rsidR="00567374">
              <w:rPr>
                <w:b/>
                <w:bCs/>
              </w:rPr>
              <w:t>8</w:t>
            </w:r>
          </w:p>
        </w:tc>
      </w:tr>
      <w:tr w:rsidR="00953856" w:rsidRPr="00110769" w14:paraId="5B73E66E" w14:textId="77777777" w:rsidTr="001973AB">
        <w:trPr>
          <w:trHeight w:val="181"/>
          <w:tblHeader/>
        </w:trPr>
        <w:tc>
          <w:tcPr>
            <w:tcW w:w="5529" w:type="dxa"/>
            <w:shd w:val="clear" w:color="auto" w:fill="FFFFFF"/>
          </w:tcPr>
          <w:p w14:paraId="11E5796E" w14:textId="77777777" w:rsidR="00953856" w:rsidRPr="00110769" w:rsidRDefault="00953856" w:rsidP="00891C26">
            <w:pPr>
              <w:spacing w:line="276" w:lineRule="auto"/>
              <w:rPr>
                <w:b/>
                <w:bCs/>
              </w:rPr>
            </w:pPr>
          </w:p>
        </w:tc>
        <w:tc>
          <w:tcPr>
            <w:tcW w:w="283" w:type="dxa"/>
            <w:shd w:val="clear" w:color="auto" w:fill="FFFFFF"/>
          </w:tcPr>
          <w:p w14:paraId="2B70203E" w14:textId="77777777" w:rsidR="00953856" w:rsidRPr="00110769" w:rsidRDefault="00953856" w:rsidP="00891C26">
            <w:pPr>
              <w:spacing w:line="276" w:lineRule="auto"/>
              <w:jc w:val="right"/>
            </w:pPr>
          </w:p>
        </w:tc>
        <w:tc>
          <w:tcPr>
            <w:tcW w:w="1701" w:type="dxa"/>
            <w:tcBorders>
              <w:bottom w:val="double" w:sz="4" w:space="0" w:color="auto"/>
            </w:tcBorders>
            <w:shd w:val="clear" w:color="auto" w:fill="FFFFFF"/>
          </w:tcPr>
          <w:p w14:paraId="0791B59B" w14:textId="77777777" w:rsidR="00953856" w:rsidRPr="00110769" w:rsidRDefault="00953856" w:rsidP="00891C26">
            <w:pPr>
              <w:spacing w:line="276" w:lineRule="auto"/>
              <w:jc w:val="right"/>
            </w:pPr>
            <w:r w:rsidRPr="00110769">
              <w:rPr>
                <w:b/>
                <w:bCs/>
              </w:rPr>
              <w:t>‘000 лв.</w:t>
            </w:r>
          </w:p>
        </w:tc>
        <w:tc>
          <w:tcPr>
            <w:tcW w:w="1559" w:type="dxa"/>
            <w:tcBorders>
              <w:bottom w:val="double" w:sz="4" w:space="0" w:color="auto"/>
            </w:tcBorders>
            <w:shd w:val="clear" w:color="auto" w:fill="FFFFFF"/>
          </w:tcPr>
          <w:p w14:paraId="7BF0AEEE" w14:textId="77777777" w:rsidR="00953856" w:rsidRPr="00110769" w:rsidRDefault="00953856" w:rsidP="00891C26">
            <w:pPr>
              <w:spacing w:line="276" w:lineRule="auto"/>
              <w:jc w:val="right"/>
            </w:pPr>
            <w:r w:rsidRPr="00110769">
              <w:rPr>
                <w:b/>
                <w:bCs/>
              </w:rPr>
              <w:t>‘000 лв.</w:t>
            </w:r>
          </w:p>
        </w:tc>
      </w:tr>
      <w:tr w:rsidR="00953856" w:rsidRPr="00110769" w14:paraId="44EDEA2F" w14:textId="77777777" w:rsidTr="001973AB">
        <w:trPr>
          <w:trHeight w:val="181"/>
          <w:tblHeader/>
        </w:trPr>
        <w:tc>
          <w:tcPr>
            <w:tcW w:w="5529" w:type="dxa"/>
            <w:shd w:val="clear" w:color="auto" w:fill="FFFFFF"/>
          </w:tcPr>
          <w:p w14:paraId="085C017A" w14:textId="77777777" w:rsidR="00953856" w:rsidRPr="00110769" w:rsidRDefault="00953856" w:rsidP="00891C26">
            <w:pPr>
              <w:spacing w:line="276" w:lineRule="auto"/>
              <w:rPr>
                <w:b/>
                <w:bCs/>
              </w:rPr>
            </w:pPr>
          </w:p>
        </w:tc>
        <w:tc>
          <w:tcPr>
            <w:tcW w:w="283" w:type="dxa"/>
            <w:shd w:val="clear" w:color="auto" w:fill="FFFFFF"/>
          </w:tcPr>
          <w:p w14:paraId="4CB14DEE" w14:textId="77777777" w:rsidR="00953856" w:rsidRPr="00110769" w:rsidDel="00B33008" w:rsidRDefault="00953856" w:rsidP="00891C26">
            <w:pPr>
              <w:spacing w:line="276" w:lineRule="auto"/>
              <w:jc w:val="right"/>
              <w:rPr>
                <w:b/>
                <w:bCs/>
              </w:rPr>
            </w:pPr>
          </w:p>
        </w:tc>
        <w:tc>
          <w:tcPr>
            <w:tcW w:w="1701" w:type="dxa"/>
            <w:tcBorders>
              <w:top w:val="double" w:sz="4" w:space="0" w:color="auto"/>
            </w:tcBorders>
            <w:shd w:val="clear" w:color="auto" w:fill="FFFFFF"/>
          </w:tcPr>
          <w:p w14:paraId="49078E89" w14:textId="77777777" w:rsidR="00953856" w:rsidRPr="00110769" w:rsidRDefault="00953856" w:rsidP="00891C26">
            <w:pPr>
              <w:spacing w:line="276" w:lineRule="auto"/>
              <w:jc w:val="right"/>
              <w:rPr>
                <w:b/>
                <w:bCs/>
              </w:rPr>
            </w:pPr>
          </w:p>
        </w:tc>
        <w:tc>
          <w:tcPr>
            <w:tcW w:w="1559" w:type="dxa"/>
            <w:tcBorders>
              <w:top w:val="double" w:sz="4" w:space="0" w:color="auto"/>
            </w:tcBorders>
            <w:shd w:val="clear" w:color="auto" w:fill="FFFFFF"/>
          </w:tcPr>
          <w:p w14:paraId="41F3E6E6" w14:textId="77777777" w:rsidR="00953856" w:rsidRPr="00110769" w:rsidRDefault="00953856" w:rsidP="00891C26">
            <w:pPr>
              <w:spacing w:line="276" w:lineRule="auto"/>
              <w:jc w:val="right"/>
              <w:rPr>
                <w:b/>
                <w:bCs/>
              </w:rPr>
            </w:pPr>
          </w:p>
        </w:tc>
      </w:tr>
      <w:tr w:rsidR="00953856" w:rsidRPr="00110769" w14:paraId="0113FDEE" w14:textId="77777777" w:rsidTr="009C1B5D">
        <w:trPr>
          <w:trHeight w:val="181"/>
        </w:trPr>
        <w:tc>
          <w:tcPr>
            <w:tcW w:w="5529" w:type="dxa"/>
            <w:shd w:val="clear" w:color="auto" w:fill="FFFFFF"/>
          </w:tcPr>
          <w:p w14:paraId="763DE4BD" w14:textId="77777777" w:rsidR="00953856" w:rsidRPr="00110769" w:rsidRDefault="00953856" w:rsidP="00891C26">
            <w:pPr>
              <w:spacing w:line="276" w:lineRule="auto"/>
              <w:rPr>
                <w:b/>
                <w:bCs/>
              </w:rPr>
            </w:pPr>
            <w:r w:rsidRPr="00110769">
              <w:rPr>
                <w:b/>
                <w:bCs/>
              </w:rPr>
              <w:t>Текущи</w:t>
            </w:r>
          </w:p>
        </w:tc>
        <w:tc>
          <w:tcPr>
            <w:tcW w:w="283" w:type="dxa"/>
            <w:shd w:val="clear" w:color="auto" w:fill="FFFFFF"/>
          </w:tcPr>
          <w:p w14:paraId="3F7D146E" w14:textId="77777777" w:rsidR="00953856" w:rsidRPr="00110769" w:rsidRDefault="00953856" w:rsidP="00891C26">
            <w:pPr>
              <w:spacing w:line="276" w:lineRule="auto"/>
              <w:jc w:val="right"/>
            </w:pPr>
          </w:p>
        </w:tc>
        <w:tc>
          <w:tcPr>
            <w:tcW w:w="1701" w:type="dxa"/>
            <w:shd w:val="clear" w:color="auto" w:fill="FFFFFF"/>
          </w:tcPr>
          <w:p w14:paraId="3C859DD9" w14:textId="77777777" w:rsidR="00953856" w:rsidRPr="00110769" w:rsidRDefault="00953856" w:rsidP="00891C26">
            <w:pPr>
              <w:spacing w:line="276" w:lineRule="auto"/>
              <w:jc w:val="right"/>
            </w:pPr>
          </w:p>
        </w:tc>
        <w:tc>
          <w:tcPr>
            <w:tcW w:w="1559" w:type="dxa"/>
            <w:shd w:val="clear" w:color="auto" w:fill="FFFFFF"/>
          </w:tcPr>
          <w:p w14:paraId="6D055829" w14:textId="77777777" w:rsidR="00953856" w:rsidRPr="00110769" w:rsidRDefault="00953856" w:rsidP="00891C26">
            <w:pPr>
              <w:spacing w:line="276" w:lineRule="auto"/>
              <w:jc w:val="right"/>
            </w:pPr>
          </w:p>
        </w:tc>
      </w:tr>
      <w:tr w:rsidR="00953856" w:rsidRPr="00110769" w14:paraId="79271299" w14:textId="77777777" w:rsidTr="009C1B5D">
        <w:trPr>
          <w:trHeight w:val="181"/>
        </w:trPr>
        <w:tc>
          <w:tcPr>
            <w:tcW w:w="5529" w:type="dxa"/>
            <w:shd w:val="clear" w:color="auto" w:fill="FFFFFF"/>
          </w:tcPr>
          <w:p w14:paraId="77014FA0" w14:textId="77777777" w:rsidR="00953856" w:rsidRPr="00110769" w:rsidRDefault="00953856" w:rsidP="00891C26">
            <w:pPr>
              <w:spacing w:line="276" w:lineRule="auto"/>
              <w:rPr>
                <w:b/>
                <w:bCs/>
              </w:rPr>
            </w:pPr>
            <w:r w:rsidRPr="00110769">
              <w:rPr>
                <w:b/>
                <w:bCs/>
              </w:rPr>
              <w:t>Вземания от:</w:t>
            </w:r>
          </w:p>
        </w:tc>
        <w:tc>
          <w:tcPr>
            <w:tcW w:w="283" w:type="dxa"/>
            <w:shd w:val="clear" w:color="auto" w:fill="FFFFFF"/>
          </w:tcPr>
          <w:p w14:paraId="0858A7DD" w14:textId="77777777" w:rsidR="00953856" w:rsidRPr="00110769" w:rsidRDefault="00953856" w:rsidP="00891C26">
            <w:pPr>
              <w:spacing w:line="276" w:lineRule="auto"/>
              <w:jc w:val="right"/>
            </w:pPr>
          </w:p>
        </w:tc>
        <w:tc>
          <w:tcPr>
            <w:tcW w:w="1701" w:type="dxa"/>
            <w:shd w:val="clear" w:color="auto" w:fill="FFFFFF"/>
          </w:tcPr>
          <w:p w14:paraId="4C2C762B" w14:textId="77777777" w:rsidR="00953856" w:rsidRPr="00110769" w:rsidRDefault="00953856" w:rsidP="00891C26">
            <w:pPr>
              <w:spacing w:line="276" w:lineRule="auto"/>
              <w:jc w:val="right"/>
            </w:pPr>
          </w:p>
        </w:tc>
        <w:tc>
          <w:tcPr>
            <w:tcW w:w="1559" w:type="dxa"/>
            <w:shd w:val="clear" w:color="auto" w:fill="FFFFFF"/>
          </w:tcPr>
          <w:p w14:paraId="60BE21E4" w14:textId="77777777" w:rsidR="00953856" w:rsidRPr="00110769" w:rsidRDefault="00953856" w:rsidP="00891C26">
            <w:pPr>
              <w:spacing w:line="276" w:lineRule="auto"/>
              <w:jc w:val="right"/>
            </w:pPr>
          </w:p>
        </w:tc>
      </w:tr>
      <w:tr w:rsidR="00953856" w:rsidRPr="00110769" w14:paraId="11798F36" w14:textId="77777777" w:rsidTr="009C1B5D">
        <w:trPr>
          <w:trHeight w:val="181"/>
        </w:trPr>
        <w:tc>
          <w:tcPr>
            <w:tcW w:w="5529" w:type="dxa"/>
            <w:shd w:val="clear" w:color="auto" w:fill="FFFFFF"/>
          </w:tcPr>
          <w:p w14:paraId="6B017190" w14:textId="77777777" w:rsidR="00953856" w:rsidRPr="00110769" w:rsidRDefault="00953856" w:rsidP="00891C26">
            <w:pPr>
              <w:spacing w:line="276" w:lineRule="auto"/>
            </w:pPr>
            <w:r w:rsidRPr="00110769">
              <w:t xml:space="preserve"> - „Водоснабдяване и канализация – Варна“ ООД</w:t>
            </w:r>
          </w:p>
        </w:tc>
        <w:tc>
          <w:tcPr>
            <w:tcW w:w="283" w:type="dxa"/>
            <w:shd w:val="clear" w:color="auto" w:fill="FFFFFF"/>
            <w:vAlign w:val="bottom"/>
          </w:tcPr>
          <w:p w14:paraId="316E966D" w14:textId="77777777" w:rsidR="00953856" w:rsidRPr="00110769" w:rsidRDefault="00953856" w:rsidP="00891C26">
            <w:pPr>
              <w:spacing w:line="276" w:lineRule="auto"/>
              <w:jc w:val="right"/>
            </w:pPr>
          </w:p>
        </w:tc>
        <w:tc>
          <w:tcPr>
            <w:tcW w:w="1701" w:type="dxa"/>
            <w:shd w:val="clear" w:color="auto" w:fill="FFFFFF"/>
            <w:vAlign w:val="bottom"/>
          </w:tcPr>
          <w:p w14:paraId="7A8DA9D6" w14:textId="77777777" w:rsidR="00953856" w:rsidRPr="00110769" w:rsidRDefault="00567374" w:rsidP="00891C26">
            <w:pPr>
              <w:spacing w:line="276" w:lineRule="auto"/>
              <w:jc w:val="right"/>
            </w:pPr>
            <w:r>
              <w:t>2</w:t>
            </w:r>
            <w:r w:rsidR="00953856" w:rsidRPr="00110769">
              <w:t>,</w:t>
            </w:r>
            <w:r>
              <w:t>723</w:t>
            </w:r>
          </w:p>
        </w:tc>
        <w:tc>
          <w:tcPr>
            <w:tcW w:w="1559" w:type="dxa"/>
            <w:shd w:val="clear" w:color="auto" w:fill="FFFFFF"/>
            <w:vAlign w:val="bottom"/>
          </w:tcPr>
          <w:p w14:paraId="27B97992" w14:textId="77777777" w:rsidR="00953856" w:rsidRPr="00110769" w:rsidRDefault="00567374" w:rsidP="00891C26">
            <w:pPr>
              <w:spacing w:line="276" w:lineRule="auto"/>
              <w:jc w:val="right"/>
            </w:pPr>
            <w:r>
              <w:t>9</w:t>
            </w:r>
            <w:r w:rsidR="00953856" w:rsidRPr="00110769">
              <w:t>,</w:t>
            </w:r>
            <w:r>
              <w:t>068</w:t>
            </w:r>
          </w:p>
        </w:tc>
      </w:tr>
      <w:tr w:rsidR="00953856" w:rsidRPr="00110769" w14:paraId="34377AFD" w14:textId="77777777" w:rsidTr="009C1B5D">
        <w:trPr>
          <w:trHeight w:val="181"/>
        </w:trPr>
        <w:tc>
          <w:tcPr>
            <w:tcW w:w="5529" w:type="dxa"/>
            <w:shd w:val="clear" w:color="auto" w:fill="FFFFFF"/>
          </w:tcPr>
          <w:p w14:paraId="7F77D4CB" w14:textId="77777777" w:rsidR="00953856" w:rsidRPr="00110769" w:rsidRDefault="00953856" w:rsidP="00891C26">
            <w:pPr>
              <w:spacing w:line="276" w:lineRule="auto"/>
            </w:pPr>
            <w:r w:rsidRPr="00110769">
              <w:t xml:space="preserve"> - „Водоснабдяване и канализация – Сливен“ ООД</w:t>
            </w:r>
          </w:p>
        </w:tc>
        <w:tc>
          <w:tcPr>
            <w:tcW w:w="283" w:type="dxa"/>
            <w:shd w:val="clear" w:color="auto" w:fill="FFFFFF"/>
            <w:vAlign w:val="bottom"/>
          </w:tcPr>
          <w:p w14:paraId="332B6935" w14:textId="77777777" w:rsidR="00953856" w:rsidRPr="00110769" w:rsidRDefault="00953856" w:rsidP="00891C26">
            <w:pPr>
              <w:spacing w:line="276" w:lineRule="auto"/>
              <w:jc w:val="right"/>
            </w:pPr>
          </w:p>
        </w:tc>
        <w:tc>
          <w:tcPr>
            <w:tcW w:w="1701" w:type="dxa"/>
            <w:shd w:val="clear" w:color="auto" w:fill="FFFFFF"/>
            <w:vAlign w:val="bottom"/>
          </w:tcPr>
          <w:p w14:paraId="236FDAAA" w14:textId="77777777" w:rsidR="00953856" w:rsidRPr="001F4E98" w:rsidRDefault="00567374" w:rsidP="00891C26">
            <w:pPr>
              <w:spacing w:line="276" w:lineRule="auto"/>
              <w:jc w:val="right"/>
              <w:rPr>
                <w:lang w:val="en-US"/>
              </w:rPr>
            </w:pPr>
            <w:r>
              <w:t>498</w:t>
            </w:r>
          </w:p>
        </w:tc>
        <w:tc>
          <w:tcPr>
            <w:tcW w:w="1559" w:type="dxa"/>
            <w:shd w:val="clear" w:color="auto" w:fill="FFFFFF"/>
            <w:vAlign w:val="bottom"/>
          </w:tcPr>
          <w:p w14:paraId="15247F61" w14:textId="77777777" w:rsidR="00953856" w:rsidRPr="00110769" w:rsidRDefault="00953856" w:rsidP="00891C26">
            <w:pPr>
              <w:spacing w:line="276" w:lineRule="auto"/>
              <w:jc w:val="right"/>
            </w:pPr>
            <w:r>
              <w:t>3</w:t>
            </w:r>
            <w:r w:rsidR="00567374">
              <w:t>87</w:t>
            </w:r>
          </w:p>
        </w:tc>
      </w:tr>
      <w:tr w:rsidR="00567374" w:rsidRPr="00110769" w14:paraId="55B3175E" w14:textId="77777777" w:rsidTr="009C1B5D">
        <w:trPr>
          <w:trHeight w:val="181"/>
        </w:trPr>
        <w:tc>
          <w:tcPr>
            <w:tcW w:w="5529" w:type="dxa"/>
            <w:shd w:val="clear" w:color="auto" w:fill="FFFFFF"/>
          </w:tcPr>
          <w:p w14:paraId="4F761214" w14:textId="77777777" w:rsidR="00567374" w:rsidRPr="00BD5DC8" w:rsidRDefault="00567374" w:rsidP="00891C26">
            <w:pPr>
              <w:spacing w:line="276" w:lineRule="auto"/>
              <w:rPr>
                <w:rFonts w:ascii="Arial" w:hAnsi="Arial" w:cs="Arial"/>
              </w:rPr>
            </w:pPr>
            <w:r w:rsidRPr="00BD5DC8">
              <w:rPr>
                <w:rFonts w:ascii="Arial" w:hAnsi="Arial" w:cs="Arial"/>
              </w:rPr>
              <w:t xml:space="preserve"> </w:t>
            </w:r>
            <w:r w:rsidRPr="00567374">
              <w:t>- „Водоснабдяване и канализация“ АД – Добрич</w:t>
            </w:r>
          </w:p>
        </w:tc>
        <w:tc>
          <w:tcPr>
            <w:tcW w:w="283" w:type="dxa"/>
            <w:shd w:val="clear" w:color="auto" w:fill="FFFFFF"/>
            <w:vAlign w:val="bottom"/>
          </w:tcPr>
          <w:p w14:paraId="7FA05EC1" w14:textId="77777777" w:rsidR="00567374" w:rsidRPr="00110769" w:rsidRDefault="00567374" w:rsidP="00891C26">
            <w:pPr>
              <w:spacing w:line="276" w:lineRule="auto"/>
              <w:jc w:val="right"/>
            </w:pPr>
          </w:p>
        </w:tc>
        <w:tc>
          <w:tcPr>
            <w:tcW w:w="1701" w:type="dxa"/>
            <w:shd w:val="clear" w:color="auto" w:fill="FFFFFF"/>
            <w:vAlign w:val="bottom"/>
          </w:tcPr>
          <w:p w14:paraId="46601BFB" w14:textId="77777777" w:rsidR="00567374" w:rsidRPr="00110769" w:rsidRDefault="00567374" w:rsidP="00891C26">
            <w:pPr>
              <w:spacing w:line="276" w:lineRule="auto"/>
              <w:jc w:val="right"/>
            </w:pPr>
            <w:r>
              <w:t>1,</w:t>
            </w:r>
            <w:r w:rsidR="0079107D">
              <w:t>855</w:t>
            </w:r>
          </w:p>
        </w:tc>
        <w:tc>
          <w:tcPr>
            <w:tcW w:w="1559" w:type="dxa"/>
            <w:shd w:val="clear" w:color="auto" w:fill="FFFFFF"/>
            <w:vAlign w:val="bottom"/>
          </w:tcPr>
          <w:p w14:paraId="701E4E69" w14:textId="2881E9CF" w:rsidR="00567374" w:rsidRPr="00110769" w:rsidRDefault="000E330C" w:rsidP="00891C26">
            <w:pPr>
              <w:spacing w:line="276" w:lineRule="auto"/>
              <w:jc w:val="right"/>
            </w:pPr>
            <w:r>
              <w:t>-</w:t>
            </w:r>
          </w:p>
        </w:tc>
      </w:tr>
      <w:tr w:rsidR="00567374" w:rsidRPr="00110769" w14:paraId="47207EDE" w14:textId="77777777" w:rsidTr="009C1B5D">
        <w:trPr>
          <w:trHeight w:val="181"/>
        </w:trPr>
        <w:tc>
          <w:tcPr>
            <w:tcW w:w="5529" w:type="dxa"/>
            <w:shd w:val="clear" w:color="auto" w:fill="FFFFFF"/>
          </w:tcPr>
          <w:p w14:paraId="5294497D" w14:textId="77777777" w:rsidR="00567374" w:rsidRPr="00110769" w:rsidRDefault="00567374" w:rsidP="00891C26">
            <w:pPr>
              <w:spacing w:line="276" w:lineRule="auto"/>
            </w:pPr>
            <w:r w:rsidRPr="00110769">
              <w:t xml:space="preserve"> - „Водоснабдяване и канализация“ АД – Добрич</w:t>
            </w:r>
          </w:p>
        </w:tc>
        <w:tc>
          <w:tcPr>
            <w:tcW w:w="283" w:type="dxa"/>
            <w:shd w:val="clear" w:color="auto" w:fill="FFFFFF"/>
            <w:vAlign w:val="bottom"/>
          </w:tcPr>
          <w:p w14:paraId="1DD4202C" w14:textId="77777777" w:rsidR="00567374" w:rsidRPr="00110769" w:rsidRDefault="00567374" w:rsidP="00891C26">
            <w:pPr>
              <w:spacing w:line="276" w:lineRule="auto"/>
              <w:jc w:val="right"/>
            </w:pPr>
          </w:p>
        </w:tc>
        <w:tc>
          <w:tcPr>
            <w:tcW w:w="1701" w:type="dxa"/>
            <w:shd w:val="clear" w:color="auto" w:fill="FFFFFF"/>
            <w:vAlign w:val="bottom"/>
          </w:tcPr>
          <w:p w14:paraId="6DE2F0B4" w14:textId="77777777" w:rsidR="00567374" w:rsidRPr="00A62B7A" w:rsidRDefault="00567374" w:rsidP="00891C26">
            <w:pPr>
              <w:spacing w:line="276" w:lineRule="auto"/>
              <w:jc w:val="right"/>
              <w:rPr>
                <w:lang w:val="en-US"/>
              </w:rPr>
            </w:pPr>
            <w:r w:rsidRPr="00110769">
              <w:t>7,1</w:t>
            </w:r>
            <w:r>
              <w:rPr>
                <w:lang w:val="en-US"/>
              </w:rPr>
              <w:t>29</w:t>
            </w:r>
          </w:p>
        </w:tc>
        <w:tc>
          <w:tcPr>
            <w:tcW w:w="1559" w:type="dxa"/>
            <w:shd w:val="clear" w:color="auto" w:fill="FFFFFF"/>
            <w:vAlign w:val="bottom"/>
          </w:tcPr>
          <w:p w14:paraId="3639167D" w14:textId="77777777" w:rsidR="00567374" w:rsidRPr="00110769" w:rsidRDefault="00567374" w:rsidP="00891C26">
            <w:pPr>
              <w:spacing w:line="276" w:lineRule="auto"/>
              <w:jc w:val="right"/>
            </w:pPr>
            <w:r w:rsidRPr="00110769">
              <w:t>7,</w:t>
            </w:r>
            <w:r>
              <w:t>129</w:t>
            </w:r>
          </w:p>
        </w:tc>
      </w:tr>
      <w:tr w:rsidR="00567374" w:rsidRPr="00147A67" w14:paraId="0B8030B5" w14:textId="77777777" w:rsidTr="009C1B5D">
        <w:trPr>
          <w:trHeight w:val="181"/>
        </w:trPr>
        <w:tc>
          <w:tcPr>
            <w:tcW w:w="5529" w:type="dxa"/>
            <w:shd w:val="clear" w:color="auto" w:fill="FFFFFF"/>
          </w:tcPr>
          <w:p w14:paraId="44AFF319" w14:textId="77777777" w:rsidR="00567374" w:rsidRPr="00147A67" w:rsidRDefault="00567374" w:rsidP="00891C26">
            <w:pPr>
              <w:spacing w:line="276" w:lineRule="auto"/>
            </w:pPr>
            <w:r w:rsidRPr="00110769">
              <w:t xml:space="preserve"> </w:t>
            </w:r>
            <w:r w:rsidRPr="00147A67">
              <w:t>- Обезценка на вземане от „Водоснабдяване и канализация“ АД – Добрич</w:t>
            </w:r>
          </w:p>
        </w:tc>
        <w:tc>
          <w:tcPr>
            <w:tcW w:w="283" w:type="dxa"/>
            <w:shd w:val="clear" w:color="auto" w:fill="FFFFFF"/>
            <w:vAlign w:val="bottom"/>
          </w:tcPr>
          <w:p w14:paraId="2D0DE7DD" w14:textId="77777777" w:rsidR="00567374" w:rsidRPr="00147A67" w:rsidRDefault="00567374" w:rsidP="00891C26">
            <w:pPr>
              <w:spacing w:line="276" w:lineRule="auto"/>
              <w:jc w:val="right"/>
            </w:pPr>
          </w:p>
        </w:tc>
        <w:tc>
          <w:tcPr>
            <w:tcW w:w="1701" w:type="dxa"/>
            <w:shd w:val="clear" w:color="auto" w:fill="FFFFFF"/>
            <w:vAlign w:val="bottom"/>
          </w:tcPr>
          <w:p w14:paraId="0984E4B4" w14:textId="77777777" w:rsidR="00567374" w:rsidRPr="00147A67" w:rsidRDefault="00567374" w:rsidP="00891C26">
            <w:pPr>
              <w:spacing w:line="276" w:lineRule="auto"/>
              <w:jc w:val="right"/>
            </w:pPr>
            <w:r w:rsidRPr="00147A67">
              <w:t>(7,1</w:t>
            </w:r>
            <w:r w:rsidRPr="00147A67">
              <w:rPr>
                <w:lang w:val="en-US"/>
              </w:rPr>
              <w:t>29</w:t>
            </w:r>
            <w:r w:rsidRPr="00147A67">
              <w:t>)</w:t>
            </w:r>
          </w:p>
        </w:tc>
        <w:tc>
          <w:tcPr>
            <w:tcW w:w="1559" w:type="dxa"/>
            <w:shd w:val="clear" w:color="auto" w:fill="FFFFFF"/>
            <w:vAlign w:val="bottom"/>
          </w:tcPr>
          <w:p w14:paraId="4A467195" w14:textId="77777777" w:rsidR="00567374" w:rsidRPr="00147A67" w:rsidRDefault="00567374" w:rsidP="00891C26">
            <w:pPr>
              <w:spacing w:line="276" w:lineRule="auto"/>
              <w:jc w:val="right"/>
            </w:pPr>
            <w:r w:rsidRPr="00147A67">
              <w:t>(7,129)</w:t>
            </w:r>
          </w:p>
        </w:tc>
      </w:tr>
      <w:tr w:rsidR="00567374" w:rsidRPr="00147A67" w14:paraId="7C36DE6A" w14:textId="77777777" w:rsidTr="009C1B5D">
        <w:trPr>
          <w:trHeight w:val="181"/>
        </w:trPr>
        <w:tc>
          <w:tcPr>
            <w:tcW w:w="5529" w:type="dxa"/>
            <w:shd w:val="clear" w:color="auto" w:fill="FFFFFF"/>
          </w:tcPr>
          <w:p w14:paraId="4FD93F7C" w14:textId="77777777" w:rsidR="00567374" w:rsidRPr="00147A67" w:rsidRDefault="00567374" w:rsidP="00891C26">
            <w:pPr>
              <w:spacing w:line="276" w:lineRule="auto"/>
              <w:rPr>
                <w:b/>
              </w:rPr>
            </w:pPr>
            <w:r w:rsidRPr="00147A67">
              <w:rPr>
                <w:b/>
              </w:rPr>
              <w:t>Общо текущи вземания от свързани лица</w:t>
            </w:r>
          </w:p>
        </w:tc>
        <w:tc>
          <w:tcPr>
            <w:tcW w:w="283" w:type="dxa"/>
            <w:shd w:val="clear" w:color="auto" w:fill="FFFFFF"/>
            <w:vAlign w:val="bottom"/>
          </w:tcPr>
          <w:p w14:paraId="5C654692" w14:textId="77777777" w:rsidR="00567374" w:rsidRPr="00147A67" w:rsidRDefault="00567374" w:rsidP="00891C26">
            <w:pPr>
              <w:spacing w:line="276" w:lineRule="auto"/>
              <w:jc w:val="right"/>
              <w:rPr>
                <w:b/>
                <w:bCs/>
              </w:rPr>
            </w:pPr>
          </w:p>
        </w:tc>
        <w:tc>
          <w:tcPr>
            <w:tcW w:w="1701" w:type="dxa"/>
            <w:tcBorders>
              <w:top w:val="single" w:sz="4" w:space="0" w:color="auto"/>
              <w:bottom w:val="single" w:sz="4" w:space="0" w:color="auto"/>
            </w:tcBorders>
            <w:shd w:val="clear" w:color="auto" w:fill="FFFFFF"/>
            <w:vAlign w:val="bottom"/>
          </w:tcPr>
          <w:p w14:paraId="345136AA" w14:textId="77777777" w:rsidR="00567374" w:rsidRPr="00147A67" w:rsidRDefault="0079107D" w:rsidP="00891C26">
            <w:pPr>
              <w:spacing w:line="276" w:lineRule="auto"/>
              <w:jc w:val="right"/>
              <w:rPr>
                <w:b/>
                <w:bCs/>
                <w:lang w:val="en-US"/>
              </w:rPr>
            </w:pPr>
            <w:r>
              <w:rPr>
                <w:b/>
                <w:bCs/>
              </w:rPr>
              <w:t>5</w:t>
            </w:r>
            <w:r w:rsidR="00567374" w:rsidRPr="00147A67">
              <w:rPr>
                <w:b/>
                <w:bCs/>
              </w:rPr>
              <w:t>,</w:t>
            </w:r>
            <w:r>
              <w:rPr>
                <w:b/>
                <w:bCs/>
              </w:rPr>
              <w:t>076</w:t>
            </w:r>
          </w:p>
        </w:tc>
        <w:tc>
          <w:tcPr>
            <w:tcW w:w="1559" w:type="dxa"/>
            <w:tcBorders>
              <w:top w:val="single" w:sz="4" w:space="0" w:color="auto"/>
              <w:bottom w:val="single" w:sz="4" w:space="0" w:color="auto"/>
            </w:tcBorders>
            <w:shd w:val="clear" w:color="auto" w:fill="FFFFFF"/>
            <w:vAlign w:val="bottom"/>
          </w:tcPr>
          <w:p w14:paraId="2AAAF99E" w14:textId="77777777" w:rsidR="00567374" w:rsidRPr="00147A67" w:rsidRDefault="00567374" w:rsidP="00891C26">
            <w:pPr>
              <w:spacing w:line="276" w:lineRule="auto"/>
              <w:jc w:val="right"/>
              <w:rPr>
                <w:b/>
                <w:bCs/>
              </w:rPr>
            </w:pPr>
            <w:r>
              <w:rPr>
                <w:b/>
                <w:bCs/>
              </w:rPr>
              <w:t>9</w:t>
            </w:r>
            <w:r w:rsidRPr="00147A67">
              <w:rPr>
                <w:b/>
                <w:bCs/>
              </w:rPr>
              <w:t>,</w:t>
            </w:r>
            <w:r>
              <w:rPr>
                <w:b/>
                <w:bCs/>
              </w:rPr>
              <w:t>455</w:t>
            </w:r>
          </w:p>
        </w:tc>
      </w:tr>
      <w:tr w:rsidR="00567374" w:rsidRPr="00147A67" w14:paraId="1CFA40B7" w14:textId="77777777" w:rsidTr="009C1B5D">
        <w:trPr>
          <w:trHeight w:val="123"/>
        </w:trPr>
        <w:tc>
          <w:tcPr>
            <w:tcW w:w="5529" w:type="dxa"/>
            <w:shd w:val="clear" w:color="auto" w:fill="FFFFFF"/>
          </w:tcPr>
          <w:p w14:paraId="5FFF754D" w14:textId="77777777" w:rsidR="00567374" w:rsidRPr="00147A67" w:rsidRDefault="00567374" w:rsidP="00891C26">
            <w:pPr>
              <w:spacing w:line="276" w:lineRule="auto"/>
              <w:rPr>
                <w:b/>
                <w:bCs/>
              </w:rPr>
            </w:pPr>
            <w:r w:rsidRPr="00147A67">
              <w:rPr>
                <w:b/>
                <w:bCs/>
              </w:rPr>
              <w:t>Общо вземания от свързани лица</w:t>
            </w:r>
          </w:p>
        </w:tc>
        <w:tc>
          <w:tcPr>
            <w:tcW w:w="283" w:type="dxa"/>
            <w:shd w:val="clear" w:color="auto" w:fill="FFFFFF"/>
            <w:vAlign w:val="bottom"/>
          </w:tcPr>
          <w:p w14:paraId="66440148" w14:textId="77777777" w:rsidR="00567374" w:rsidRPr="00147A67" w:rsidRDefault="00567374" w:rsidP="00891C26">
            <w:pPr>
              <w:spacing w:line="276" w:lineRule="auto"/>
              <w:jc w:val="right"/>
              <w:rPr>
                <w:b/>
                <w:bCs/>
              </w:rPr>
            </w:pPr>
          </w:p>
        </w:tc>
        <w:tc>
          <w:tcPr>
            <w:tcW w:w="1701" w:type="dxa"/>
            <w:tcBorders>
              <w:top w:val="single" w:sz="4" w:space="0" w:color="auto"/>
              <w:bottom w:val="double" w:sz="4" w:space="0" w:color="auto"/>
            </w:tcBorders>
            <w:shd w:val="clear" w:color="auto" w:fill="FFFFFF"/>
            <w:vAlign w:val="bottom"/>
          </w:tcPr>
          <w:p w14:paraId="59F22017" w14:textId="77777777" w:rsidR="00567374" w:rsidRPr="00147A67" w:rsidRDefault="0079107D" w:rsidP="00891C26">
            <w:pPr>
              <w:spacing w:line="276" w:lineRule="auto"/>
              <w:jc w:val="right"/>
              <w:rPr>
                <w:b/>
                <w:bCs/>
                <w:lang w:val="en-US"/>
              </w:rPr>
            </w:pPr>
            <w:r>
              <w:rPr>
                <w:b/>
                <w:bCs/>
              </w:rPr>
              <w:t>5</w:t>
            </w:r>
            <w:r w:rsidR="00567374" w:rsidRPr="00147A67">
              <w:rPr>
                <w:b/>
                <w:bCs/>
              </w:rPr>
              <w:t>,</w:t>
            </w:r>
            <w:r>
              <w:rPr>
                <w:b/>
                <w:bCs/>
              </w:rPr>
              <w:t>076</w:t>
            </w:r>
          </w:p>
        </w:tc>
        <w:tc>
          <w:tcPr>
            <w:tcW w:w="1559" w:type="dxa"/>
            <w:tcBorders>
              <w:top w:val="single" w:sz="4" w:space="0" w:color="auto"/>
              <w:bottom w:val="double" w:sz="4" w:space="0" w:color="auto"/>
            </w:tcBorders>
            <w:shd w:val="clear" w:color="auto" w:fill="FFFFFF"/>
            <w:vAlign w:val="bottom"/>
          </w:tcPr>
          <w:p w14:paraId="38C5F2A4" w14:textId="77777777" w:rsidR="00567374" w:rsidRPr="00147A67" w:rsidRDefault="00567374" w:rsidP="00891C26">
            <w:pPr>
              <w:spacing w:line="276" w:lineRule="auto"/>
              <w:jc w:val="right"/>
              <w:rPr>
                <w:b/>
                <w:bCs/>
              </w:rPr>
            </w:pPr>
            <w:r>
              <w:rPr>
                <w:b/>
                <w:bCs/>
              </w:rPr>
              <w:t>9</w:t>
            </w:r>
            <w:r w:rsidRPr="00147A67">
              <w:rPr>
                <w:b/>
                <w:bCs/>
              </w:rPr>
              <w:t>,</w:t>
            </w:r>
            <w:r>
              <w:rPr>
                <w:b/>
                <w:bCs/>
              </w:rPr>
              <w:t>455</w:t>
            </w:r>
          </w:p>
        </w:tc>
      </w:tr>
      <w:tr w:rsidR="00567374" w:rsidRPr="00147A67" w14:paraId="6E024669" w14:textId="77777777" w:rsidTr="009C1B5D">
        <w:trPr>
          <w:trHeight w:val="181"/>
        </w:trPr>
        <w:tc>
          <w:tcPr>
            <w:tcW w:w="5529" w:type="dxa"/>
            <w:shd w:val="clear" w:color="auto" w:fill="FFFFFF"/>
          </w:tcPr>
          <w:p w14:paraId="47917CBB" w14:textId="77777777" w:rsidR="00567374" w:rsidRPr="00147A67" w:rsidRDefault="00567374" w:rsidP="00891C26">
            <w:pPr>
              <w:spacing w:line="276" w:lineRule="auto"/>
              <w:rPr>
                <w:b/>
                <w:bCs/>
              </w:rPr>
            </w:pPr>
            <w:r w:rsidRPr="00147A67">
              <w:rPr>
                <w:b/>
                <w:bCs/>
              </w:rPr>
              <w:t>Текущи</w:t>
            </w:r>
          </w:p>
        </w:tc>
        <w:tc>
          <w:tcPr>
            <w:tcW w:w="283" w:type="dxa"/>
            <w:shd w:val="clear" w:color="auto" w:fill="FFFFFF"/>
            <w:vAlign w:val="bottom"/>
          </w:tcPr>
          <w:p w14:paraId="336ADA04" w14:textId="77777777" w:rsidR="00567374" w:rsidRPr="00147A67" w:rsidRDefault="00567374" w:rsidP="00891C26">
            <w:pPr>
              <w:spacing w:line="276" w:lineRule="auto"/>
              <w:jc w:val="right"/>
            </w:pPr>
          </w:p>
        </w:tc>
        <w:tc>
          <w:tcPr>
            <w:tcW w:w="1701" w:type="dxa"/>
            <w:shd w:val="clear" w:color="auto" w:fill="FFFFFF"/>
            <w:vAlign w:val="bottom"/>
          </w:tcPr>
          <w:p w14:paraId="253A9B41" w14:textId="77777777" w:rsidR="00567374" w:rsidRPr="00147A67" w:rsidRDefault="00567374" w:rsidP="00891C26">
            <w:pPr>
              <w:spacing w:line="276" w:lineRule="auto"/>
              <w:jc w:val="right"/>
            </w:pPr>
          </w:p>
        </w:tc>
        <w:tc>
          <w:tcPr>
            <w:tcW w:w="1559" w:type="dxa"/>
            <w:shd w:val="clear" w:color="auto" w:fill="FFFFFF"/>
            <w:vAlign w:val="bottom"/>
          </w:tcPr>
          <w:p w14:paraId="5462D13F" w14:textId="77777777" w:rsidR="00567374" w:rsidRPr="00147A67" w:rsidRDefault="00567374" w:rsidP="00891C26">
            <w:pPr>
              <w:spacing w:line="276" w:lineRule="auto"/>
              <w:jc w:val="right"/>
            </w:pPr>
          </w:p>
        </w:tc>
      </w:tr>
      <w:tr w:rsidR="00567374" w:rsidRPr="00147A67" w14:paraId="65ABBE02" w14:textId="77777777" w:rsidTr="009C1B5D">
        <w:trPr>
          <w:trHeight w:val="181"/>
        </w:trPr>
        <w:tc>
          <w:tcPr>
            <w:tcW w:w="5529" w:type="dxa"/>
            <w:shd w:val="clear" w:color="auto" w:fill="FFFFFF"/>
          </w:tcPr>
          <w:p w14:paraId="685412E4" w14:textId="77777777" w:rsidR="00567374" w:rsidRPr="00147A67" w:rsidRDefault="00567374" w:rsidP="00891C26">
            <w:pPr>
              <w:spacing w:line="276" w:lineRule="auto"/>
              <w:rPr>
                <w:b/>
                <w:bCs/>
              </w:rPr>
            </w:pPr>
            <w:r w:rsidRPr="00147A67">
              <w:rPr>
                <w:b/>
                <w:bCs/>
              </w:rPr>
              <w:t>Задължения към:</w:t>
            </w:r>
          </w:p>
        </w:tc>
        <w:tc>
          <w:tcPr>
            <w:tcW w:w="283" w:type="dxa"/>
            <w:shd w:val="clear" w:color="auto" w:fill="FFFFFF"/>
            <w:vAlign w:val="bottom"/>
          </w:tcPr>
          <w:p w14:paraId="7C65B2A1" w14:textId="77777777" w:rsidR="00567374" w:rsidRPr="00147A67" w:rsidRDefault="00567374" w:rsidP="00891C26">
            <w:pPr>
              <w:spacing w:line="276" w:lineRule="auto"/>
              <w:jc w:val="right"/>
            </w:pPr>
          </w:p>
        </w:tc>
        <w:tc>
          <w:tcPr>
            <w:tcW w:w="1701" w:type="dxa"/>
            <w:shd w:val="clear" w:color="auto" w:fill="FFFFFF"/>
            <w:vAlign w:val="bottom"/>
          </w:tcPr>
          <w:p w14:paraId="6482C9B7" w14:textId="77777777" w:rsidR="00567374" w:rsidRPr="00147A67" w:rsidRDefault="00567374" w:rsidP="00891C26">
            <w:pPr>
              <w:spacing w:line="276" w:lineRule="auto"/>
              <w:jc w:val="right"/>
            </w:pPr>
          </w:p>
        </w:tc>
        <w:tc>
          <w:tcPr>
            <w:tcW w:w="1559" w:type="dxa"/>
            <w:shd w:val="clear" w:color="auto" w:fill="FFFFFF"/>
            <w:vAlign w:val="bottom"/>
          </w:tcPr>
          <w:p w14:paraId="08815BCF" w14:textId="77777777" w:rsidR="00567374" w:rsidRPr="00147A67" w:rsidRDefault="00567374" w:rsidP="00891C26">
            <w:pPr>
              <w:spacing w:line="276" w:lineRule="auto"/>
              <w:jc w:val="right"/>
            </w:pPr>
          </w:p>
        </w:tc>
      </w:tr>
      <w:tr w:rsidR="00567374" w:rsidRPr="00147A67" w14:paraId="4D15253C" w14:textId="77777777" w:rsidTr="009C1B5D">
        <w:trPr>
          <w:trHeight w:val="181"/>
        </w:trPr>
        <w:tc>
          <w:tcPr>
            <w:tcW w:w="5529" w:type="dxa"/>
            <w:shd w:val="clear" w:color="auto" w:fill="FFFFFF"/>
          </w:tcPr>
          <w:p w14:paraId="08A53A35" w14:textId="77777777" w:rsidR="00567374" w:rsidRPr="00147A67" w:rsidRDefault="00567374" w:rsidP="00891C26">
            <w:pPr>
              <w:spacing w:line="276" w:lineRule="auto"/>
            </w:pPr>
            <w:r w:rsidRPr="00147A67">
              <w:t xml:space="preserve"> - „Водоснабдяване и канализация – Варна“ ООД</w:t>
            </w:r>
          </w:p>
        </w:tc>
        <w:tc>
          <w:tcPr>
            <w:tcW w:w="283" w:type="dxa"/>
            <w:shd w:val="clear" w:color="auto" w:fill="FFFFFF"/>
            <w:vAlign w:val="bottom"/>
          </w:tcPr>
          <w:p w14:paraId="45B6B0CF" w14:textId="77777777" w:rsidR="00567374" w:rsidRPr="00147A67" w:rsidRDefault="00567374" w:rsidP="00891C26">
            <w:pPr>
              <w:spacing w:line="276" w:lineRule="auto"/>
              <w:jc w:val="right"/>
            </w:pPr>
          </w:p>
        </w:tc>
        <w:tc>
          <w:tcPr>
            <w:tcW w:w="1701" w:type="dxa"/>
            <w:shd w:val="clear" w:color="auto" w:fill="FFFFFF"/>
            <w:vAlign w:val="bottom"/>
          </w:tcPr>
          <w:p w14:paraId="0CA9DFD3" w14:textId="2B745231" w:rsidR="00567374" w:rsidRPr="00147A67" w:rsidRDefault="000E330C" w:rsidP="00891C26">
            <w:pPr>
              <w:spacing w:line="276" w:lineRule="auto"/>
              <w:jc w:val="right"/>
            </w:pPr>
            <w:r>
              <w:t>-</w:t>
            </w:r>
          </w:p>
        </w:tc>
        <w:tc>
          <w:tcPr>
            <w:tcW w:w="1559" w:type="dxa"/>
            <w:shd w:val="clear" w:color="auto" w:fill="FFFFFF"/>
            <w:vAlign w:val="bottom"/>
          </w:tcPr>
          <w:p w14:paraId="6BFC6755" w14:textId="77777777" w:rsidR="00567374" w:rsidRPr="00147A67" w:rsidRDefault="00567374" w:rsidP="00891C26">
            <w:pPr>
              <w:spacing w:line="276" w:lineRule="auto"/>
              <w:jc w:val="right"/>
            </w:pPr>
            <w:r w:rsidRPr="00147A67">
              <w:t>729</w:t>
            </w:r>
          </w:p>
        </w:tc>
      </w:tr>
      <w:tr w:rsidR="00567374" w:rsidRPr="00147A67" w14:paraId="1E1D453E" w14:textId="77777777" w:rsidTr="009C1B5D">
        <w:trPr>
          <w:trHeight w:val="181"/>
        </w:trPr>
        <w:tc>
          <w:tcPr>
            <w:tcW w:w="5529" w:type="dxa"/>
            <w:shd w:val="clear" w:color="auto" w:fill="FFFFFF"/>
          </w:tcPr>
          <w:p w14:paraId="3F42444A" w14:textId="77777777" w:rsidR="00567374" w:rsidRPr="00147A67" w:rsidRDefault="00567374" w:rsidP="00891C26">
            <w:pPr>
              <w:spacing w:line="276" w:lineRule="auto"/>
            </w:pPr>
            <w:r w:rsidRPr="00147A67">
              <w:t xml:space="preserve"> - ключов управленски персонал</w:t>
            </w:r>
          </w:p>
        </w:tc>
        <w:tc>
          <w:tcPr>
            <w:tcW w:w="283" w:type="dxa"/>
            <w:shd w:val="clear" w:color="auto" w:fill="FFFFFF"/>
            <w:vAlign w:val="bottom"/>
          </w:tcPr>
          <w:p w14:paraId="6C42AE63" w14:textId="77777777" w:rsidR="00567374" w:rsidRPr="00147A67" w:rsidRDefault="00567374" w:rsidP="00891C26">
            <w:pPr>
              <w:spacing w:line="276" w:lineRule="auto"/>
              <w:jc w:val="right"/>
            </w:pPr>
          </w:p>
        </w:tc>
        <w:tc>
          <w:tcPr>
            <w:tcW w:w="1701" w:type="dxa"/>
            <w:tcBorders>
              <w:bottom w:val="single" w:sz="4" w:space="0" w:color="auto"/>
            </w:tcBorders>
            <w:shd w:val="clear" w:color="auto" w:fill="FFFFFF"/>
            <w:vAlign w:val="bottom"/>
          </w:tcPr>
          <w:p w14:paraId="5528EE32" w14:textId="77777777" w:rsidR="00567374" w:rsidRPr="00C101D7" w:rsidRDefault="00567374" w:rsidP="00891C26">
            <w:pPr>
              <w:spacing w:line="276" w:lineRule="auto"/>
              <w:jc w:val="right"/>
              <w:rPr>
                <w:lang w:val="en-US"/>
              </w:rPr>
            </w:pPr>
            <w:r w:rsidRPr="00147A67">
              <w:t>1</w:t>
            </w:r>
            <w:r>
              <w:t>3</w:t>
            </w:r>
          </w:p>
        </w:tc>
        <w:tc>
          <w:tcPr>
            <w:tcW w:w="1559" w:type="dxa"/>
            <w:tcBorders>
              <w:bottom w:val="single" w:sz="4" w:space="0" w:color="auto"/>
            </w:tcBorders>
            <w:shd w:val="clear" w:color="auto" w:fill="FFFFFF"/>
            <w:vAlign w:val="bottom"/>
          </w:tcPr>
          <w:p w14:paraId="1E46D31A" w14:textId="77777777" w:rsidR="00567374" w:rsidRPr="00147A67" w:rsidRDefault="00567374" w:rsidP="00891C26">
            <w:pPr>
              <w:spacing w:line="276" w:lineRule="auto"/>
              <w:jc w:val="right"/>
            </w:pPr>
            <w:r w:rsidRPr="00147A67">
              <w:t>10</w:t>
            </w:r>
          </w:p>
        </w:tc>
      </w:tr>
      <w:tr w:rsidR="00567374" w:rsidRPr="00147A67" w14:paraId="2C28E0CB" w14:textId="77777777" w:rsidTr="009C1B5D">
        <w:trPr>
          <w:trHeight w:val="181"/>
        </w:trPr>
        <w:tc>
          <w:tcPr>
            <w:tcW w:w="5529" w:type="dxa"/>
            <w:shd w:val="clear" w:color="auto" w:fill="FFFFFF"/>
          </w:tcPr>
          <w:p w14:paraId="63F62939" w14:textId="77777777" w:rsidR="00567374" w:rsidRPr="00147A67" w:rsidRDefault="00567374" w:rsidP="00891C26">
            <w:pPr>
              <w:spacing w:line="276" w:lineRule="auto"/>
              <w:rPr>
                <w:b/>
              </w:rPr>
            </w:pPr>
            <w:r w:rsidRPr="00147A67">
              <w:rPr>
                <w:b/>
              </w:rPr>
              <w:t>Общо текущи задължения към свързани лица</w:t>
            </w:r>
          </w:p>
        </w:tc>
        <w:tc>
          <w:tcPr>
            <w:tcW w:w="283" w:type="dxa"/>
            <w:shd w:val="clear" w:color="auto" w:fill="FFFFFF"/>
            <w:vAlign w:val="bottom"/>
          </w:tcPr>
          <w:p w14:paraId="75985768" w14:textId="77777777" w:rsidR="00567374" w:rsidRPr="00147A67" w:rsidRDefault="00567374" w:rsidP="00891C26">
            <w:pPr>
              <w:spacing w:line="276" w:lineRule="auto"/>
              <w:jc w:val="right"/>
              <w:rPr>
                <w:b/>
              </w:rPr>
            </w:pPr>
          </w:p>
        </w:tc>
        <w:tc>
          <w:tcPr>
            <w:tcW w:w="1701" w:type="dxa"/>
            <w:tcBorders>
              <w:top w:val="single" w:sz="4" w:space="0" w:color="auto"/>
              <w:bottom w:val="single" w:sz="4" w:space="0" w:color="auto"/>
            </w:tcBorders>
            <w:shd w:val="clear" w:color="auto" w:fill="FFFFFF"/>
            <w:vAlign w:val="bottom"/>
          </w:tcPr>
          <w:p w14:paraId="705E199A" w14:textId="77777777" w:rsidR="00567374" w:rsidRPr="00C101D7" w:rsidRDefault="00567374" w:rsidP="00891C26">
            <w:pPr>
              <w:spacing w:line="276" w:lineRule="auto"/>
              <w:jc w:val="right"/>
              <w:rPr>
                <w:b/>
                <w:lang w:val="en-US"/>
              </w:rPr>
            </w:pPr>
            <w:r>
              <w:rPr>
                <w:b/>
              </w:rPr>
              <w:t>13</w:t>
            </w:r>
          </w:p>
        </w:tc>
        <w:tc>
          <w:tcPr>
            <w:tcW w:w="1559" w:type="dxa"/>
            <w:tcBorders>
              <w:top w:val="single" w:sz="4" w:space="0" w:color="auto"/>
              <w:bottom w:val="single" w:sz="4" w:space="0" w:color="auto"/>
            </w:tcBorders>
            <w:shd w:val="clear" w:color="auto" w:fill="FFFFFF"/>
            <w:vAlign w:val="bottom"/>
          </w:tcPr>
          <w:p w14:paraId="65092DA4" w14:textId="77777777" w:rsidR="00567374" w:rsidRPr="00147A67" w:rsidRDefault="00567374" w:rsidP="00891C26">
            <w:pPr>
              <w:spacing w:line="276" w:lineRule="auto"/>
              <w:jc w:val="right"/>
              <w:rPr>
                <w:b/>
                <w:lang w:val="en-US"/>
              </w:rPr>
            </w:pPr>
            <w:r w:rsidRPr="00147A67">
              <w:rPr>
                <w:b/>
              </w:rPr>
              <w:t>739</w:t>
            </w:r>
          </w:p>
        </w:tc>
      </w:tr>
      <w:tr w:rsidR="00567374" w:rsidRPr="00A62B7A" w14:paraId="45283921" w14:textId="77777777" w:rsidTr="009C1B5D">
        <w:trPr>
          <w:trHeight w:val="181"/>
        </w:trPr>
        <w:tc>
          <w:tcPr>
            <w:tcW w:w="5529" w:type="dxa"/>
            <w:shd w:val="clear" w:color="auto" w:fill="FFFFFF"/>
          </w:tcPr>
          <w:p w14:paraId="37449B05" w14:textId="77777777" w:rsidR="00567374" w:rsidRPr="00147A67" w:rsidRDefault="00567374" w:rsidP="00891C26">
            <w:pPr>
              <w:spacing w:line="276" w:lineRule="auto"/>
            </w:pPr>
            <w:r w:rsidRPr="00147A67">
              <w:rPr>
                <w:b/>
                <w:bCs/>
              </w:rPr>
              <w:t>Общо задължения към свързани лица</w:t>
            </w:r>
          </w:p>
        </w:tc>
        <w:tc>
          <w:tcPr>
            <w:tcW w:w="283" w:type="dxa"/>
            <w:shd w:val="clear" w:color="auto" w:fill="FFFFFF"/>
            <w:vAlign w:val="bottom"/>
          </w:tcPr>
          <w:p w14:paraId="5DFBEF66" w14:textId="77777777" w:rsidR="00567374" w:rsidRPr="00147A67" w:rsidRDefault="00567374" w:rsidP="00891C26">
            <w:pPr>
              <w:spacing w:line="276" w:lineRule="auto"/>
              <w:jc w:val="right"/>
              <w:rPr>
                <w:b/>
              </w:rPr>
            </w:pPr>
          </w:p>
        </w:tc>
        <w:tc>
          <w:tcPr>
            <w:tcW w:w="1701" w:type="dxa"/>
            <w:tcBorders>
              <w:top w:val="single" w:sz="4" w:space="0" w:color="auto"/>
              <w:bottom w:val="double" w:sz="4" w:space="0" w:color="auto"/>
            </w:tcBorders>
            <w:shd w:val="clear" w:color="auto" w:fill="FFFFFF"/>
            <w:vAlign w:val="bottom"/>
          </w:tcPr>
          <w:p w14:paraId="251BFB11" w14:textId="77777777" w:rsidR="00567374" w:rsidRPr="00C101D7" w:rsidRDefault="00567374" w:rsidP="00891C26">
            <w:pPr>
              <w:spacing w:line="276" w:lineRule="auto"/>
              <w:jc w:val="right"/>
              <w:rPr>
                <w:b/>
                <w:lang w:val="en-US"/>
              </w:rPr>
            </w:pPr>
            <w:r>
              <w:rPr>
                <w:b/>
              </w:rPr>
              <w:t>13</w:t>
            </w:r>
          </w:p>
        </w:tc>
        <w:tc>
          <w:tcPr>
            <w:tcW w:w="1559" w:type="dxa"/>
            <w:tcBorders>
              <w:top w:val="single" w:sz="4" w:space="0" w:color="auto"/>
              <w:bottom w:val="double" w:sz="4" w:space="0" w:color="auto"/>
            </w:tcBorders>
            <w:shd w:val="clear" w:color="auto" w:fill="FFFFFF"/>
            <w:vAlign w:val="bottom"/>
          </w:tcPr>
          <w:p w14:paraId="3D7B7AF1" w14:textId="77777777" w:rsidR="00567374" w:rsidRPr="00A62B7A" w:rsidRDefault="00567374" w:rsidP="00891C26">
            <w:pPr>
              <w:spacing w:line="276" w:lineRule="auto"/>
              <w:jc w:val="right"/>
              <w:rPr>
                <w:b/>
                <w:lang w:val="en-US"/>
              </w:rPr>
            </w:pPr>
            <w:r w:rsidRPr="00147A67">
              <w:rPr>
                <w:b/>
              </w:rPr>
              <w:t>739</w:t>
            </w:r>
          </w:p>
        </w:tc>
      </w:tr>
    </w:tbl>
    <w:p w14:paraId="33248F11" w14:textId="77777777" w:rsidR="007C61A9" w:rsidRDefault="007C61A9" w:rsidP="00891C26">
      <w:pPr>
        <w:pStyle w:val="Style5"/>
        <w:widowControl/>
        <w:tabs>
          <w:tab w:val="left" w:pos="142"/>
        </w:tabs>
        <w:spacing w:line="276" w:lineRule="auto"/>
        <w:ind w:left="705" w:firstLine="0"/>
      </w:pPr>
    </w:p>
    <w:p w14:paraId="0B08CE8E" w14:textId="77777777" w:rsidR="00835A5A" w:rsidRPr="00C67CA3" w:rsidRDefault="007E7782" w:rsidP="00891C26">
      <w:pPr>
        <w:pStyle w:val="ListParagraph"/>
        <w:widowControl/>
        <w:numPr>
          <w:ilvl w:val="0"/>
          <w:numId w:val="35"/>
        </w:numPr>
        <w:tabs>
          <w:tab w:val="left" w:pos="851"/>
        </w:tabs>
        <w:autoSpaceDE/>
        <w:autoSpaceDN/>
        <w:adjustRightInd/>
        <w:spacing w:after="240" w:line="276" w:lineRule="auto"/>
        <w:ind w:left="851" w:hanging="284"/>
        <w:jc w:val="both"/>
        <w:rPr>
          <w:b/>
        </w:rPr>
      </w:pPr>
      <w:r w:rsidRPr="00C67CA3">
        <w:rPr>
          <w:b/>
        </w:rPr>
        <w:t>Информация за събития и показатели с необичаен за Дружеството, характер, 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година;</w:t>
      </w:r>
    </w:p>
    <w:p w14:paraId="6BE8E644" w14:textId="77777777" w:rsidR="00293CED" w:rsidRDefault="00293CED" w:rsidP="00891C26">
      <w:pPr>
        <w:pStyle w:val="BodyText"/>
        <w:spacing w:line="276" w:lineRule="auto"/>
        <w:ind w:firstLine="851"/>
        <w:jc w:val="both"/>
      </w:pPr>
      <w:r>
        <w:t>През 201</w:t>
      </w:r>
      <w:r w:rsidR="0079107D">
        <w:t>9</w:t>
      </w:r>
      <w:r>
        <w:t xml:space="preserve"> г. няма с</w:t>
      </w:r>
      <w:r w:rsidRPr="00293CED">
        <w:t>ъбития и показатели с необичаен за Дружеството, характер, имащи същест</w:t>
      </w:r>
      <w:r w:rsidR="002E5D56">
        <w:t>вено влияние върху дейността му</w:t>
      </w:r>
      <w:r w:rsidRPr="00293CED">
        <w:t xml:space="preserve"> и реализираните от него приходи и извършени разходи</w:t>
      </w:r>
      <w:r w:rsidR="002E5D56">
        <w:t>.</w:t>
      </w:r>
    </w:p>
    <w:p w14:paraId="60D69FE2" w14:textId="77777777" w:rsidR="00835A5A" w:rsidRPr="00021EBE" w:rsidRDefault="00835A5A" w:rsidP="00891C26">
      <w:pPr>
        <w:pStyle w:val="Style5"/>
        <w:widowControl/>
        <w:tabs>
          <w:tab w:val="left" w:pos="142"/>
        </w:tabs>
        <w:spacing w:line="276" w:lineRule="auto"/>
        <w:ind w:firstLine="0"/>
        <w:rPr>
          <w:b/>
        </w:rPr>
      </w:pPr>
    </w:p>
    <w:p w14:paraId="24C09192" w14:textId="77777777" w:rsidR="00835A5A" w:rsidRPr="00C67CA3" w:rsidRDefault="007E7782" w:rsidP="00891C26">
      <w:pPr>
        <w:pStyle w:val="ListParagraph"/>
        <w:widowControl/>
        <w:numPr>
          <w:ilvl w:val="0"/>
          <w:numId w:val="35"/>
        </w:numPr>
        <w:tabs>
          <w:tab w:val="left" w:pos="851"/>
        </w:tabs>
        <w:autoSpaceDE/>
        <w:autoSpaceDN/>
        <w:adjustRightInd/>
        <w:spacing w:after="240" w:line="276" w:lineRule="auto"/>
        <w:ind w:left="851" w:hanging="284"/>
        <w:jc w:val="both"/>
        <w:rPr>
          <w:b/>
        </w:rPr>
      </w:pPr>
      <w:r w:rsidRPr="00C67CA3">
        <w:rPr>
          <w:b/>
        </w:rPr>
        <w:t>Информация за сделки, водени извънбалансово - характер и бизнес цел, посочване финансовото въздействие на сделките върху дейността, ако рискът и ползите от тези сделки са съществени за Дружеството, и ако разкриването на тази информация е съществено за оценката на финансовото състояние на Дружеството;</w:t>
      </w:r>
    </w:p>
    <w:p w14:paraId="0A9D5A2B" w14:textId="77777777" w:rsidR="007009B1" w:rsidRPr="00C67CA3" w:rsidRDefault="007009B1" w:rsidP="00891C26">
      <w:pPr>
        <w:pStyle w:val="BodyText"/>
        <w:spacing w:line="276" w:lineRule="auto"/>
        <w:ind w:firstLine="851"/>
        <w:jc w:val="both"/>
      </w:pPr>
      <w:r w:rsidRPr="00C67CA3">
        <w:t>Дружеството няма сделки</w:t>
      </w:r>
      <w:r w:rsidR="007A7BB1" w:rsidRPr="00C67CA3">
        <w:t>, които да са</w:t>
      </w:r>
      <w:r w:rsidRPr="00C67CA3">
        <w:t xml:space="preserve"> водени извънбалансово п</w:t>
      </w:r>
      <w:r w:rsidR="00E62A30">
        <w:t>рез 201</w:t>
      </w:r>
      <w:r w:rsidR="0079107D">
        <w:t>9</w:t>
      </w:r>
      <w:r w:rsidR="00D05E54" w:rsidRPr="00C67CA3">
        <w:t xml:space="preserve"> </w:t>
      </w:r>
      <w:r w:rsidRPr="00C67CA3">
        <w:t>г.</w:t>
      </w:r>
    </w:p>
    <w:p w14:paraId="5198EC13" w14:textId="77777777" w:rsidR="007009B1" w:rsidRPr="00C67CA3" w:rsidRDefault="007E7782" w:rsidP="00891C26">
      <w:pPr>
        <w:pStyle w:val="BodyText"/>
        <w:spacing w:line="276" w:lineRule="auto"/>
        <w:ind w:firstLine="851"/>
        <w:jc w:val="both"/>
        <w:rPr>
          <w:rStyle w:val="FontStyle14"/>
          <w:sz w:val="24"/>
          <w:szCs w:val="24"/>
        </w:rPr>
      </w:pPr>
      <w:r w:rsidRPr="00C67CA3">
        <w:t>Отписаните</w:t>
      </w:r>
      <w:r w:rsidRPr="00C67CA3">
        <w:rPr>
          <w:rStyle w:val="FontStyle14"/>
          <w:sz w:val="24"/>
          <w:szCs w:val="24"/>
        </w:rPr>
        <w:t xml:space="preserve"> от баланса на Дружеството активи публична държавна и/или публична </w:t>
      </w:r>
      <w:r w:rsidRPr="00C67CA3">
        <w:t>общинска</w:t>
      </w:r>
      <w:r w:rsidRPr="00C67CA3">
        <w:rPr>
          <w:rStyle w:val="FontStyle14"/>
          <w:sz w:val="24"/>
          <w:szCs w:val="24"/>
        </w:rPr>
        <w:t xml:space="preserve"> собственост описани по-горе в Раздел I, т.2. </w:t>
      </w:r>
      <w:r w:rsidR="007A7BB1" w:rsidRPr="00C67CA3">
        <w:rPr>
          <w:rStyle w:val="FontStyle14"/>
          <w:sz w:val="24"/>
          <w:szCs w:val="24"/>
        </w:rPr>
        <w:t>„Преглед на резултатите от дейността на и финансовото състояние на Дружеството. Общи данни за дружеството“</w:t>
      </w:r>
      <w:r w:rsidRPr="00C67CA3">
        <w:rPr>
          <w:rStyle w:val="FontStyle14"/>
          <w:sz w:val="24"/>
          <w:szCs w:val="24"/>
        </w:rPr>
        <w:t xml:space="preserve"> са заведени задбалансово съгласно изискванията на Закона за водите и договора с </w:t>
      </w:r>
      <w:r w:rsidR="00D05E54" w:rsidRPr="00C67CA3">
        <w:rPr>
          <w:rStyle w:val="FontStyle14"/>
          <w:sz w:val="24"/>
          <w:szCs w:val="24"/>
        </w:rPr>
        <w:t>Асоциацията по ВиК</w:t>
      </w:r>
      <w:r w:rsidRPr="00C67CA3">
        <w:rPr>
          <w:rStyle w:val="FontStyle14"/>
          <w:sz w:val="24"/>
          <w:szCs w:val="24"/>
        </w:rPr>
        <w:t xml:space="preserve">. </w:t>
      </w:r>
    </w:p>
    <w:p w14:paraId="534DB5E3" w14:textId="77777777" w:rsidR="00835A5A" w:rsidRPr="00C67CA3" w:rsidRDefault="007E7782" w:rsidP="00891C26">
      <w:pPr>
        <w:pStyle w:val="ListParagraph"/>
        <w:widowControl/>
        <w:numPr>
          <w:ilvl w:val="0"/>
          <w:numId w:val="35"/>
        </w:numPr>
        <w:tabs>
          <w:tab w:val="left" w:pos="851"/>
        </w:tabs>
        <w:autoSpaceDE/>
        <w:autoSpaceDN/>
        <w:adjustRightInd/>
        <w:spacing w:after="240" w:line="276" w:lineRule="auto"/>
        <w:ind w:left="851" w:hanging="284"/>
        <w:jc w:val="both"/>
        <w:rPr>
          <w:b/>
        </w:rPr>
      </w:pPr>
      <w:r w:rsidRPr="00C67CA3">
        <w:rPr>
          <w:b/>
        </w:rPr>
        <w:t>Информация за дялови участия на Дружеството, за основните му инвестиции в страната и в чужбина (в ценни книжа, финансови инструменти, нематериални активи и недвижими имоти), както и инвестициите в дялови ценни книжа извън неговата група предприятия по смисъла на Закона за счетоводството и източниците/начините на финансиране;</w:t>
      </w:r>
    </w:p>
    <w:p w14:paraId="6747AFF0" w14:textId="77777777" w:rsidR="00C90276" w:rsidRPr="00C67CA3" w:rsidRDefault="007B7F5E" w:rsidP="00891C26">
      <w:pPr>
        <w:pStyle w:val="BodyText"/>
        <w:spacing w:line="276" w:lineRule="auto"/>
        <w:ind w:firstLine="851"/>
        <w:jc w:val="both"/>
        <w:rPr>
          <w:rStyle w:val="FontStyle14"/>
          <w:sz w:val="24"/>
          <w:szCs w:val="24"/>
        </w:rPr>
      </w:pPr>
      <w:r w:rsidRPr="00C101D7">
        <w:rPr>
          <w:rStyle w:val="FontStyle14"/>
          <w:sz w:val="24"/>
          <w:szCs w:val="24"/>
        </w:rPr>
        <w:t>Дружеството</w:t>
      </w:r>
      <w:r w:rsidR="00A74E10" w:rsidRPr="00C101D7">
        <w:rPr>
          <w:rStyle w:val="FontStyle14"/>
          <w:sz w:val="24"/>
          <w:szCs w:val="24"/>
        </w:rPr>
        <w:t xml:space="preserve"> притежава</w:t>
      </w:r>
      <w:r w:rsidRPr="00C101D7">
        <w:rPr>
          <w:rStyle w:val="FontStyle14"/>
          <w:sz w:val="24"/>
          <w:szCs w:val="24"/>
        </w:rPr>
        <w:t xml:space="preserve"> дялов</w:t>
      </w:r>
      <w:r w:rsidR="00E155E3" w:rsidRPr="00C101D7">
        <w:rPr>
          <w:rStyle w:val="FontStyle14"/>
          <w:sz w:val="24"/>
          <w:szCs w:val="24"/>
        </w:rPr>
        <w:t>о</w:t>
      </w:r>
      <w:r w:rsidRPr="00C101D7">
        <w:rPr>
          <w:rStyle w:val="FontStyle14"/>
          <w:sz w:val="24"/>
          <w:szCs w:val="24"/>
        </w:rPr>
        <w:t xml:space="preserve"> участи</w:t>
      </w:r>
      <w:r w:rsidR="00E155E3" w:rsidRPr="00C101D7">
        <w:rPr>
          <w:rStyle w:val="FontStyle14"/>
          <w:sz w:val="24"/>
          <w:szCs w:val="24"/>
        </w:rPr>
        <w:t>е</w:t>
      </w:r>
      <w:r w:rsidRPr="00C101D7">
        <w:rPr>
          <w:rStyle w:val="FontStyle14"/>
          <w:sz w:val="24"/>
          <w:szCs w:val="24"/>
        </w:rPr>
        <w:t xml:space="preserve"> </w:t>
      </w:r>
      <w:r w:rsidR="00E155E3" w:rsidRPr="00C101D7">
        <w:rPr>
          <w:rStyle w:val="FontStyle14"/>
          <w:sz w:val="24"/>
          <w:szCs w:val="24"/>
        </w:rPr>
        <w:t>във „Водоснабдяване и канализация</w:t>
      </w:r>
      <w:r w:rsidR="00863312">
        <w:rPr>
          <w:rStyle w:val="FontStyle14"/>
          <w:sz w:val="24"/>
          <w:szCs w:val="24"/>
        </w:rPr>
        <w:t xml:space="preserve"> Добрич</w:t>
      </w:r>
      <w:r w:rsidR="00E155E3" w:rsidRPr="00C101D7">
        <w:rPr>
          <w:rStyle w:val="FontStyle14"/>
          <w:sz w:val="24"/>
          <w:szCs w:val="24"/>
        </w:rPr>
        <w:t>“ АД</w:t>
      </w:r>
      <w:r w:rsidR="00EA2D40" w:rsidRPr="00C101D7">
        <w:rPr>
          <w:rStyle w:val="FontStyle14"/>
          <w:sz w:val="24"/>
          <w:szCs w:val="24"/>
        </w:rPr>
        <w:t>,</w:t>
      </w:r>
      <w:r w:rsidR="00E155E3" w:rsidRPr="00C101D7">
        <w:rPr>
          <w:rStyle w:val="FontStyle14"/>
          <w:sz w:val="24"/>
          <w:szCs w:val="24"/>
        </w:rPr>
        <w:t xml:space="preserve"> гр.</w:t>
      </w:r>
      <w:r w:rsidR="00EA2D40" w:rsidRPr="00C101D7">
        <w:rPr>
          <w:rStyle w:val="FontStyle14"/>
          <w:sz w:val="24"/>
          <w:szCs w:val="24"/>
        </w:rPr>
        <w:t xml:space="preserve"> </w:t>
      </w:r>
      <w:r w:rsidR="00E155E3" w:rsidRPr="00C101D7">
        <w:rPr>
          <w:rStyle w:val="FontStyle14"/>
          <w:sz w:val="24"/>
          <w:szCs w:val="24"/>
        </w:rPr>
        <w:t>Добрич</w:t>
      </w:r>
      <w:r w:rsidR="00BF7EAF" w:rsidRPr="00C101D7">
        <w:rPr>
          <w:rStyle w:val="FontStyle14"/>
          <w:sz w:val="24"/>
          <w:szCs w:val="24"/>
        </w:rPr>
        <w:t xml:space="preserve"> срещу непарична вноска, представляваща вземане на „Водоснабдяване и канализация“ ЕАД</w:t>
      </w:r>
      <w:r w:rsidR="00D05E54" w:rsidRPr="00C101D7">
        <w:rPr>
          <w:rStyle w:val="FontStyle14"/>
          <w:sz w:val="24"/>
          <w:szCs w:val="24"/>
        </w:rPr>
        <w:t>,</w:t>
      </w:r>
      <w:r w:rsidRPr="00C101D7">
        <w:rPr>
          <w:rStyle w:val="FontStyle14"/>
          <w:sz w:val="24"/>
          <w:szCs w:val="24"/>
        </w:rPr>
        <w:t xml:space="preserve"> </w:t>
      </w:r>
      <w:r w:rsidR="00D82964" w:rsidRPr="00C101D7">
        <w:rPr>
          <w:rStyle w:val="FontStyle14"/>
          <w:sz w:val="24"/>
          <w:szCs w:val="24"/>
        </w:rPr>
        <w:t xml:space="preserve"> Бургас, </w:t>
      </w:r>
      <w:r w:rsidR="00BF7EAF" w:rsidRPr="00C101D7">
        <w:rPr>
          <w:rStyle w:val="FontStyle14"/>
          <w:sz w:val="24"/>
          <w:szCs w:val="24"/>
        </w:rPr>
        <w:t>оценено на 3 00</w:t>
      </w:r>
      <w:r w:rsidR="00EA2D40" w:rsidRPr="00C101D7">
        <w:rPr>
          <w:rStyle w:val="FontStyle14"/>
          <w:sz w:val="24"/>
          <w:szCs w:val="24"/>
        </w:rPr>
        <w:t>8</w:t>
      </w:r>
      <w:r w:rsidR="00BF7EAF" w:rsidRPr="00C101D7">
        <w:rPr>
          <w:rStyle w:val="FontStyle14"/>
          <w:sz w:val="24"/>
          <w:szCs w:val="24"/>
        </w:rPr>
        <w:t xml:space="preserve"> хил.</w:t>
      </w:r>
      <w:r w:rsidR="007A7BB1" w:rsidRPr="00C101D7">
        <w:rPr>
          <w:rStyle w:val="FontStyle14"/>
          <w:sz w:val="24"/>
          <w:szCs w:val="24"/>
        </w:rPr>
        <w:t xml:space="preserve"> </w:t>
      </w:r>
      <w:r w:rsidR="00BF7EAF" w:rsidRPr="00C101D7">
        <w:rPr>
          <w:rStyle w:val="FontStyle14"/>
          <w:sz w:val="24"/>
          <w:szCs w:val="24"/>
        </w:rPr>
        <w:t>лв.</w:t>
      </w:r>
      <w:r w:rsidRPr="00C67CA3">
        <w:rPr>
          <w:rStyle w:val="FontStyle14"/>
          <w:sz w:val="24"/>
          <w:szCs w:val="24"/>
        </w:rPr>
        <w:t xml:space="preserve"> </w:t>
      </w:r>
      <w:r w:rsidR="008570C3">
        <w:rPr>
          <w:rStyle w:val="FontStyle14"/>
          <w:sz w:val="24"/>
          <w:szCs w:val="24"/>
        </w:rPr>
        <w:t xml:space="preserve"> </w:t>
      </w:r>
    </w:p>
    <w:p w14:paraId="4435684C" w14:textId="3C366181" w:rsidR="001B0A54" w:rsidRPr="00C67CA3" w:rsidRDefault="00C90276" w:rsidP="00891C26">
      <w:pPr>
        <w:pStyle w:val="BodyText"/>
        <w:spacing w:line="276" w:lineRule="auto"/>
        <w:ind w:firstLine="851"/>
        <w:jc w:val="both"/>
        <w:rPr>
          <w:rStyle w:val="FontStyle14"/>
          <w:sz w:val="24"/>
          <w:szCs w:val="24"/>
        </w:rPr>
      </w:pPr>
      <w:r w:rsidRPr="00C67CA3">
        <w:rPr>
          <w:rStyle w:val="FontStyle14"/>
          <w:sz w:val="24"/>
          <w:szCs w:val="24"/>
        </w:rPr>
        <w:t xml:space="preserve">С решение на едноличния собственик на </w:t>
      </w:r>
      <w:r w:rsidR="008C2F0A" w:rsidRPr="00C67CA3">
        <w:rPr>
          <w:rStyle w:val="FontStyle14"/>
          <w:sz w:val="24"/>
          <w:szCs w:val="24"/>
        </w:rPr>
        <w:t>„Водоснабдяване и канализация</w:t>
      </w:r>
      <w:r w:rsidR="00863312">
        <w:rPr>
          <w:rStyle w:val="FontStyle14"/>
          <w:sz w:val="24"/>
          <w:szCs w:val="24"/>
        </w:rPr>
        <w:t xml:space="preserve"> Добрич</w:t>
      </w:r>
      <w:r w:rsidR="008C2F0A" w:rsidRPr="00C67CA3">
        <w:rPr>
          <w:rStyle w:val="FontStyle14"/>
          <w:sz w:val="24"/>
          <w:szCs w:val="24"/>
        </w:rPr>
        <w:t>“ АД, гр. Добрич</w:t>
      </w:r>
      <w:r w:rsidRPr="00C67CA3">
        <w:rPr>
          <w:rStyle w:val="FontStyle14"/>
          <w:sz w:val="24"/>
          <w:szCs w:val="24"/>
        </w:rPr>
        <w:t>, капиталът на дружеството е увеличен със съществуващо задължение към „Водоснабдяване и канализация“ ЕАД, гр. Бургас, което увеличение е публикувано в Агенцията по вписванията през месец февруари 2016 г. Размерът на увеличението на капитала е с 3</w:t>
      </w:r>
      <w:r w:rsidR="002A67C6">
        <w:rPr>
          <w:rStyle w:val="FontStyle14"/>
          <w:sz w:val="24"/>
          <w:szCs w:val="24"/>
        </w:rPr>
        <w:t xml:space="preserve"> </w:t>
      </w:r>
      <w:r w:rsidRPr="00C67CA3">
        <w:rPr>
          <w:rStyle w:val="FontStyle14"/>
          <w:sz w:val="24"/>
          <w:szCs w:val="24"/>
        </w:rPr>
        <w:t xml:space="preserve">008 хил. лв. Вземанията за търговски кредити на „Водоснабдяване и канализация“ ЕАД, гр. Бургас от </w:t>
      </w:r>
      <w:r w:rsidR="008C2F0A" w:rsidRPr="00C67CA3">
        <w:rPr>
          <w:rStyle w:val="FontStyle14"/>
          <w:sz w:val="24"/>
          <w:szCs w:val="24"/>
        </w:rPr>
        <w:t>„Водоснабдяване и канализация</w:t>
      </w:r>
      <w:r w:rsidR="00863312">
        <w:rPr>
          <w:rStyle w:val="FontStyle14"/>
          <w:sz w:val="24"/>
          <w:szCs w:val="24"/>
        </w:rPr>
        <w:t xml:space="preserve"> Добрич</w:t>
      </w:r>
      <w:r w:rsidR="008C2F0A" w:rsidRPr="00C67CA3">
        <w:rPr>
          <w:rStyle w:val="FontStyle14"/>
          <w:sz w:val="24"/>
          <w:szCs w:val="24"/>
        </w:rPr>
        <w:t>“ АД, гр. Добрич</w:t>
      </w:r>
      <w:r w:rsidRPr="00C67CA3">
        <w:rPr>
          <w:rStyle w:val="FontStyle14"/>
          <w:sz w:val="24"/>
          <w:szCs w:val="24"/>
        </w:rPr>
        <w:t>, с които е увеличен капиталът</w:t>
      </w:r>
      <w:r w:rsidR="00863312">
        <w:rPr>
          <w:rStyle w:val="FontStyle14"/>
          <w:sz w:val="24"/>
          <w:szCs w:val="24"/>
        </w:rPr>
        <w:t>,</w:t>
      </w:r>
      <w:r w:rsidRPr="00C67CA3">
        <w:rPr>
          <w:rStyle w:val="FontStyle14"/>
          <w:sz w:val="24"/>
          <w:szCs w:val="24"/>
        </w:rPr>
        <w:t xml:space="preserve"> са били обезценени почти напълно в предходни периоди. </w:t>
      </w:r>
    </w:p>
    <w:p w14:paraId="4FEF0AD8" w14:textId="77777777" w:rsidR="00015F6B" w:rsidRDefault="00015F6B" w:rsidP="00891C26">
      <w:pPr>
        <w:pStyle w:val="BodyText"/>
        <w:spacing w:line="276" w:lineRule="auto"/>
        <w:ind w:firstLine="851"/>
        <w:jc w:val="both"/>
        <w:rPr>
          <w:rStyle w:val="FontStyle14"/>
          <w:sz w:val="24"/>
          <w:szCs w:val="24"/>
        </w:rPr>
      </w:pPr>
      <w:r w:rsidRPr="008570C3">
        <w:rPr>
          <w:rStyle w:val="FontStyle14"/>
          <w:sz w:val="24"/>
          <w:szCs w:val="24"/>
        </w:rPr>
        <w:t>През 2018 г. Дружеството е признало обезценка, свързана с инвестицията във „Водоснабдяване и канализация</w:t>
      </w:r>
      <w:r w:rsidR="00863312">
        <w:rPr>
          <w:rStyle w:val="FontStyle14"/>
          <w:sz w:val="24"/>
          <w:szCs w:val="24"/>
        </w:rPr>
        <w:t xml:space="preserve"> Добрич</w:t>
      </w:r>
      <w:r w:rsidRPr="008570C3">
        <w:rPr>
          <w:rStyle w:val="FontStyle14"/>
          <w:sz w:val="24"/>
          <w:szCs w:val="24"/>
        </w:rPr>
        <w:t>“ АД – Добрич в размер на 3,008 хил. лв.</w:t>
      </w:r>
    </w:p>
    <w:p w14:paraId="207FD524" w14:textId="77777777" w:rsidR="001757B5" w:rsidRPr="00C67CA3" w:rsidRDefault="001757B5" w:rsidP="00891C26">
      <w:pPr>
        <w:pStyle w:val="BodyText"/>
        <w:spacing w:line="276" w:lineRule="auto"/>
        <w:ind w:firstLine="851"/>
        <w:jc w:val="both"/>
        <w:rPr>
          <w:rStyle w:val="FontStyle14"/>
          <w:sz w:val="24"/>
          <w:szCs w:val="24"/>
        </w:rPr>
      </w:pPr>
      <w:r w:rsidRPr="00C67CA3">
        <w:rPr>
          <w:rStyle w:val="FontStyle14"/>
          <w:sz w:val="24"/>
          <w:szCs w:val="24"/>
        </w:rPr>
        <w:t>Стойността на нематериалните активи към 31.12.201</w:t>
      </w:r>
      <w:r w:rsidR="00F9365B">
        <w:rPr>
          <w:rStyle w:val="FontStyle14"/>
          <w:sz w:val="24"/>
          <w:szCs w:val="24"/>
        </w:rPr>
        <w:t>9</w:t>
      </w:r>
      <w:r w:rsidR="00347C28">
        <w:rPr>
          <w:rStyle w:val="FontStyle14"/>
          <w:sz w:val="24"/>
          <w:szCs w:val="24"/>
        </w:rPr>
        <w:t xml:space="preserve"> </w:t>
      </w:r>
      <w:r w:rsidRPr="00C67CA3">
        <w:rPr>
          <w:rStyle w:val="FontStyle14"/>
          <w:sz w:val="24"/>
          <w:szCs w:val="24"/>
        </w:rPr>
        <w:t xml:space="preserve">г. са в размер на </w:t>
      </w:r>
      <w:r w:rsidR="00021EBE">
        <w:rPr>
          <w:rStyle w:val="FontStyle14"/>
          <w:sz w:val="24"/>
          <w:szCs w:val="24"/>
        </w:rPr>
        <w:t>3</w:t>
      </w:r>
      <w:r w:rsidR="00F9365B">
        <w:rPr>
          <w:rStyle w:val="FontStyle14"/>
          <w:sz w:val="24"/>
          <w:szCs w:val="24"/>
        </w:rPr>
        <w:t>0</w:t>
      </w:r>
      <w:r w:rsidR="00347C28">
        <w:rPr>
          <w:rStyle w:val="FontStyle14"/>
          <w:sz w:val="24"/>
          <w:szCs w:val="24"/>
        </w:rPr>
        <w:t xml:space="preserve"> </w:t>
      </w:r>
      <w:r w:rsidR="00F9365B">
        <w:rPr>
          <w:rStyle w:val="FontStyle14"/>
          <w:sz w:val="24"/>
          <w:szCs w:val="24"/>
        </w:rPr>
        <w:t>242</w:t>
      </w:r>
      <w:r w:rsidRPr="00C67CA3">
        <w:rPr>
          <w:rStyle w:val="FontStyle14"/>
          <w:sz w:val="24"/>
          <w:szCs w:val="24"/>
        </w:rPr>
        <w:t xml:space="preserve"> хил. лв. и включват права на ползване, права върху интелектуална собственост и програмни продукти. Относно </w:t>
      </w:r>
      <w:r w:rsidR="009B1553">
        <w:rPr>
          <w:rStyle w:val="FontStyle14"/>
          <w:sz w:val="24"/>
          <w:szCs w:val="24"/>
        </w:rPr>
        <w:t>п</w:t>
      </w:r>
      <w:r w:rsidR="00B64E35" w:rsidRPr="00C67CA3">
        <w:rPr>
          <w:rStyle w:val="FontStyle14"/>
          <w:sz w:val="24"/>
          <w:szCs w:val="24"/>
        </w:rPr>
        <w:t>рава</w:t>
      </w:r>
      <w:r w:rsidR="009B1553">
        <w:rPr>
          <w:rStyle w:val="FontStyle14"/>
          <w:sz w:val="24"/>
          <w:szCs w:val="24"/>
        </w:rPr>
        <w:t>та</w:t>
      </w:r>
      <w:r w:rsidR="00B64E35" w:rsidRPr="00C67CA3">
        <w:rPr>
          <w:rStyle w:val="FontStyle14"/>
          <w:sz w:val="24"/>
          <w:szCs w:val="24"/>
        </w:rPr>
        <w:t xml:space="preserve"> на ползване, вижте т.2 Преглед на резултатите от дейността на и финансовото състояние на Дружеството от раздел I. Развитие, резултати от дейността и състоянието на дружеството през 201</w:t>
      </w:r>
      <w:r w:rsidR="00F9365B">
        <w:rPr>
          <w:rStyle w:val="FontStyle14"/>
          <w:sz w:val="24"/>
          <w:szCs w:val="24"/>
        </w:rPr>
        <w:t>9</w:t>
      </w:r>
      <w:r w:rsidR="00B64E35" w:rsidRPr="00C67CA3">
        <w:rPr>
          <w:rStyle w:val="FontStyle14"/>
          <w:sz w:val="24"/>
          <w:szCs w:val="24"/>
        </w:rPr>
        <w:t xml:space="preserve"> г.</w:t>
      </w:r>
    </w:p>
    <w:p w14:paraId="6320834B" w14:textId="77777777" w:rsidR="001757B5" w:rsidRPr="00C67CA3" w:rsidRDefault="00B64E35" w:rsidP="00891C26">
      <w:pPr>
        <w:pStyle w:val="BodyText"/>
        <w:spacing w:line="276" w:lineRule="auto"/>
        <w:ind w:firstLine="851"/>
        <w:jc w:val="both"/>
        <w:rPr>
          <w:rStyle w:val="FontStyle14"/>
          <w:sz w:val="24"/>
          <w:szCs w:val="24"/>
        </w:rPr>
      </w:pPr>
      <w:r w:rsidRPr="00C67CA3">
        <w:rPr>
          <w:rStyle w:val="FontStyle14"/>
          <w:sz w:val="24"/>
          <w:szCs w:val="24"/>
        </w:rPr>
        <w:t>Стойността на недвижими имоти към 31.12.201</w:t>
      </w:r>
      <w:r w:rsidR="00863312">
        <w:rPr>
          <w:rStyle w:val="FontStyle14"/>
          <w:sz w:val="24"/>
          <w:szCs w:val="24"/>
        </w:rPr>
        <w:t>9</w:t>
      </w:r>
      <w:r w:rsidR="00021EBE">
        <w:rPr>
          <w:rStyle w:val="FontStyle14"/>
          <w:sz w:val="24"/>
          <w:szCs w:val="24"/>
        </w:rPr>
        <w:t xml:space="preserve"> г. са в размер на 2</w:t>
      </w:r>
      <w:r w:rsidR="00347C28">
        <w:rPr>
          <w:rStyle w:val="FontStyle14"/>
          <w:sz w:val="24"/>
          <w:szCs w:val="24"/>
        </w:rPr>
        <w:t xml:space="preserve"> </w:t>
      </w:r>
      <w:r w:rsidR="00F9365B">
        <w:rPr>
          <w:rStyle w:val="FontStyle14"/>
          <w:sz w:val="24"/>
          <w:szCs w:val="24"/>
        </w:rPr>
        <w:t>502</w:t>
      </w:r>
      <w:r w:rsidR="00015F6B" w:rsidRPr="00C67CA3">
        <w:rPr>
          <w:rStyle w:val="FontStyle14"/>
          <w:sz w:val="24"/>
          <w:szCs w:val="24"/>
        </w:rPr>
        <w:t xml:space="preserve"> </w:t>
      </w:r>
      <w:r w:rsidRPr="00C67CA3">
        <w:rPr>
          <w:rStyle w:val="FontStyle14"/>
          <w:sz w:val="24"/>
          <w:szCs w:val="24"/>
        </w:rPr>
        <w:t>хил. лв. и включват земи и сгради.</w:t>
      </w:r>
    </w:p>
    <w:p w14:paraId="7159BD71" w14:textId="77777777" w:rsidR="00F36505" w:rsidRPr="00C67CA3" w:rsidRDefault="00F36505" w:rsidP="00891C26">
      <w:pPr>
        <w:pStyle w:val="Style5"/>
        <w:widowControl/>
        <w:tabs>
          <w:tab w:val="left" w:pos="142"/>
        </w:tabs>
        <w:spacing w:line="276" w:lineRule="auto"/>
        <w:ind w:left="705" w:firstLine="0"/>
      </w:pPr>
    </w:p>
    <w:p w14:paraId="1AC59928" w14:textId="77777777" w:rsidR="00835A5A" w:rsidRPr="00C67CA3" w:rsidRDefault="007E7782" w:rsidP="00891C26">
      <w:pPr>
        <w:pStyle w:val="ListParagraph"/>
        <w:widowControl/>
        <w:numPr>
          <w:ilvl w:val="0"/>
          <w:numId w:val="35"/>
        </w:numPr>
        <w:tabs>
          <w:tab w:val="left" w:pos="851"/>
        </w:tabs>
        <w:autoSpaceDE/>
        <w:autoSpaceDN/>
        <w:adjustRightInd/>
        <w:spacing w:after="240" w:line="276" w:lineRule="auto"/>
        <w:ind w:left="851" w:hanging="284"/>
        <w:jc w:val="both"/>
        <w:rPr>
          <w:b/>
        </w:rPr>
      </w:pPr>
      <w:r w:rsidRPr="00C67CA3">
        <w:rPr>
          <w:b/>
        </w:rPr>
        <w:lastRenderedPageBreak/>
        <w:t>Информация относно сключените от Дружеството, от негово дъщерно дружество или дружество майка, в качеството им на заемополучатели,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14:paraId="299145CF" w14:textId="77777777" w:rsidR="00EA2D40" w:rsidRPr="00C67CA3" w:rsidRDefault="00EA2D40" w:rsidP="00891C26">
      <w:pPr>
        <w:pStyle w:val="BodyText"/>
        <w:spacing w:line="276" w:lineRule="auto"/>
        <w:ind w:firstLine="851"/>
        <w:jc w:val="both"/>
        <w:rPr>
          <w:rStyle w:val="FontStyle14"/>
          <w:sz w:val="24"/>
          <w:szCs w:val="24"/>
        </w:rPr>
      </w:pPr>
      <w:r w:rsidRPr="00C67CA3">
        <w:rPr>
          <w:rStyle w:val="FontStyle14"/>
          <w:sz w:val="24"/>
          <w:szCs w:val="24"/>
        </w:rPr>
        <w:t>През 2005 г. Дружеството е сключило договор за дългосрочен заем с Европейската банка за възстановяване и развитие (Банкат</w:t>
      </w:r>
      <w:r w:rsidR="00021EBE">
        <w:rPr>
          <w:rStyle w:val="FontStyle14"/>
          <w:sz w:val="24"/>
          <w:szCs w:val="24"/>
        </w:rPr>
        <w:t>а) на стойност 11 млн. евро (21</w:t>
      </w:r>
      <w:r w:rsidRPr="00C67CA3">
        <w:rPr>
          <w:rStyle w:val="FontStyle14"/>
          <w:sz w:val="24"/>
          <w:szCs w:val="24"/>
        </w:rPr>
        <w:t>514 хил. лева). Заемът е предоставен за изпълнение на инвестиционен проект, свързан с модернизация и разширяване на инфраструктурата за водоснабдяване и канализация („Интегриран проект за подобряване на водния цикъл на гр. Бургас”). Към края на отчетния период процесът по усвояване на заема е завършил. Погасяването на главницата по заема се извършва на 24 шестмесечни вноски в размер на 474 хил. евро всяка, считано от 19 юни 2008 г. и приключващо на 19 декември 2019 г.</w:t>
      </w:r>
    </w:p>
    <w:p w14:paraId="452FEB78" w14:textId="77777777" w:rsidR="00EA2D40" w:rsidRPr="00C67CA3" w:rsidRDefault="00EA2D40" w:rsidP="00891C26">
      <w:pPr>
        <w:pStyle w:val="BodyText"/>
        <w:spacing w:line="276" w:lineRule="auto"/>
        <w:ind w:firstLine="851"/>
        <w:jc w:val="both"/>
        <w:rPr>
          <w:rStyle w:val="FontStyle14"/>
          <w:sz w:val="24"/>
          <w:szCs w:val="24"/>
        </w:rPr>
      </w:pPr>
      <w:r w:rsidRPr="00C67CA3">
        <w:rPr>
          <w:rStyle w:val="FontStyle14"/>
          <w:sz w:val="24"/>
          <w:szCs w:val="24"/>
        </w:rPr>
        <w:t>Съгласно условията на договора, през периода на усвояване на кредита, дружеството има задължение за изплащане на лихви само върху усвоената част от него. Размерът на лихвата се определя като сума от предложения годишен междубанков курс в Еврозоната за депозити в евро за съответния шестмесечен лихвен период и надбавка. Съгласно анекс към договора за заем, подписан през месец декември 2007 г., надбавката е в размер на 1.5% годишно и, при изпълнение на определени условия, може да стане 1.25% годишно.</w:t>
      </w:r>
    </w:p>
    <w:p w14:paraId="5A692931" w14:textId="77777777" w:rsidR="00EA2D40" w:rsidRPr="00C67CA3" w:rsidRDefault="00EA2D40" w:rsidP="00891C26">
      <w:pPr>
        <w:pStyle w:val="BodyText"/>
        <w:spacing w:line="276" w:lineRule="auto"/>
        <w:ind w:firstLine="851"/>
        <w:jc w:val="both"/>
        <w:rPr>
          <w:rStyle w:val="FontStyle14"/>
          <w:sz w:val="24"/>
          <w:szCs w:val="24"/>
        </w:rPr>
      </w:pPr>
      <w:r w:rsidRPr="00C67CA3">
        <w:rPr>
          <w:rStyle w:val="FontStyle14"/>
          <w:sz w:val="24"/>
          <w:szCs w:val="24"/>
        </w:rPr>
        <w:t>В случай че дружеството просрочи задълженията си, ще бъде начислена лихва върху просроченото плащане, равна на лихвата за съответния лихвен период, увеличена с 2% годишно. В допълнение, дружеството се задължава да заплаща и такса за ангажимент в размер на 0.5% годишно върху неусвоената или отменена част от заема.</w:t>
      </w:r>
    </w:p>
    <w:p w14:paraId="0F5E2B66" w14:textId="18622364" w:rsidR="00EA2D40" w:rsidRPr="00C67CA3" w:rsidRDefault="00EA2D40" w:rsidP="00891C26">
      <w:pPr>
        <w:pStyle w:val="BodyText"/>
        <w:spacing w:line="276" w:lineRule="auto"/>
        <w:ind w:firstLine="851"/>
        <w:jc w:val="both"/>
        <w:rPr>
          <w:rStyle w:val="FontStyle14"/>
          <w:sz w:val="24"/>
          <w:szCs w:val="24"/>
        </w:rPr>
      </w:pPr>
      <w:r w:rsidRPr="00C67CA3">
        <w:rPr>
          <w:rStyle w:val="FontStyle14"/>
          <w:sz w:val="24"/>
          <w:szCs w:val="24"/>
        </w:rPr>
        <w:t xml:space="preserve">Ефективният лихвен процент по заема </w:t>
      </w:r>
      <w:r w:rsidRPr="004942E9">
        <w:rPr>
          <w:rStyle w:val="FontStyle14"/>
          <w:sz w:val="24"/>
          <w:szCs w:val="24"/>
        </w:rPr>
        <w:t>за 201</w:t>
      </w:r>
      <w:r w:rsidR="00F9365B">
        <w:rPr>
          <w:rStyle w:val="FontStyle14"/>
          <w:sz w:val="24"/>
          <w:szCs w:val="24"/>
        </w:rPr>
        <w:t>9</w:t>
      </w:r>
      <w:r w:rsidR="00347C28">
        <w:rPr>
          <w:rStyle w:val="FontStyle14"/>
          <w:sz w:val="24"/>
          <w:szCs w:val="24"/>
        </w:rPr>
        <w:t xml:space="preserve"> </w:t>
      </w:r>
      <w:r w:rsidRPr="004942E9">
        <w:rPr>
          <w:rStyle w:val="FontStyle14"/>
          <w:sz w:val="24"/>
          <w:szCs w:val="24"/>
        </w:rPr>
        <w:t>г</w:t>
      </w:r>
      <w:r w:rsidRPr="00734BBD">
        <w:rPr>
          <w:rStyle w:val="FontStyle14"/>
          <w:color w:val="FF0000"/>
          <w:sz w:val="24"/>
          <w:szCs w:val="24"/>
        </w:rPr>
        <w:t xml:space="preserve">. </w:t>
      </w:r>
      <w:r w:rsidRPr="00E73342">
        <w:rPr>
          <w:rStyle w:val="FontStyle14"/>
          <w:sz w:val="24"/>
          <w:szCs w:val="24"/>
        </w:rPr>
        <w:t xml:space="preserve">е </w:t>
      </w:r>
      <w:r w:rsidR="00D27E59">
        <w:rPr>
          <w:rStyle w:val="FontStyle14"/>
          <w:sz w:val="24"/>
          <w:szCs w:val="24"/>
          <w:lang w:val="en-US"/>
        </w:rPr>
        <w:t>4</w:t>
      </w:r>
      <w:r w:rsidR="00347C28">
        <w:rPr>
          <w:rStyle w:val="FontStyle14"/>
          <w:sz w:val="24"/>
          <w:szCs w:val="24"/>
        </w:rPr>
        <w:t>.</w:t>
      </w:r>
      <w:r w:rsidR="00D27E59">
        <w:rPr>
          <w:rStyle w:val="FontStyle14"/>
          <w:sz w:val="24"/>
          <w:szCs w:val="24"/>
          <w:lang w:val="en-US"/>
        </w:rPr>
        <w:t>25</w:t>
      </w:r>
      <w:bookmarkStart w:id="0" w:name="_GoBack"/>
      <w:bookmarkEnd w:id="0"/>
      <w:r w:rsidRPr="00E73342">
        <w:rPr>
          <w:rStyle w:val="FontStyle14"/>
          <w:sz w:val="24"/>
          <w:szCs w:val="24"/>
        </w:rPr>
        <w:t>%</w:t>
      </w:r>
      <w:r w:rsidR="002F21F1" w:rsidRPr="00C67CA3">
        <w:rPr>
          <w:rStyle w:val="FontStyle14"/>
          <w:sz w:val="24"/>
          <w:szCs w:val="24"/>
        </w:rPr>
        <w:t xml:space="preserve"> </w:t>
      </w:r>
      <w:r w:rsidRPr="00C67CA3">
        <w:rPr>
          <w:rStyle w:val="FontStyle14"/>
          <w:sz w:val="24"/>
          <w:szCs w:val="24"/>
        </w:rPr>
        <w:t>годишно. Заемът е обезпечен с резервна сметка за обслужване на заема, с минимално салдо, равно на сумата, дължима на банката за предстоящото плащане. Минималното салдо ще се поддържа до пълното изплащане на всички суми, дължими на Банката. Заемът е обезпечен и посредством:</w:t>
      </w:r>
    </w:p>
    <w:p w14:paraId="2AB39F6E" w14:textId="77777777" w:rsidR="00EA2D40" w:rsidRPr="00C67CA3" w:rsidRDefault="005A5955" w:rsidP="00891C26">
      <w:pPr>
        <w:pStyle w:val="BodyText"/>
        <w:spacing w:line="276" w:lineRule="auto"/>
        <w:ind w:firstLine="851"/>
        <w:jc w:val="both"/>
        <w:rPr>
          <w:rStyle w:val="FontStyle14"/>
          <w:sz w:val="24"/>
          <w:szCs w:val="24"/>
        </w:rPr>
      </w:pPr>
      <w:r w:rsidRPr="00C67CA3">
        <w:rPr>
          <w:rStyle w:val="FontStyle14"/>
          <w:sz w:val="24"/>
          <w:szCs w:val="24"/>
        </w:rPr>
        <w:t xml:space="preserve">1. </w:t>
      </w:r>
      <w:r w:rsidR="00EA2D40" w:rsidRPr="00C67CA3">
        <w:rPr>
          <w:rStyle w:val="FontStyle14"/>
          <w:sz w:val="24"/>
          <w:szCs w:val="24"/>
        </w:rPr>
        <w:t>Залог от първа величина на банкова сметка на Дружеството (залог на банкови сметки);</w:t>
      </w:r>
    </w:p>
    <w:p w14:paraId="47F7FB5A" w14:textId="77777777" w:rsidR="001B0A54" w:rsidRPr="00C67CA3" w:rsidRDefault="005A5955" w:rsidP="00891C26">
      <w:pPr>
        <w:pStyle w:val="BodyText"/>
        <w:spacing w:line="276" w:lineRule="auto"/>
        <w:ind w:firstLine="851"/>
        <w:jc w:val="both"/>
        <w:rPr>
          <w:rStyle w:val="FontStyle14"/>
          <w:sz w:val="24"/>
          <w:szCs w:val="24"/>
        </w:rPr>
      </w:pPr>
      <w:r w:rsidRPr="00C67CA3">
        <w:rPr>
          <w:rStyle w:val="FontStyle14"/>
          <w:sz w:val="24"/>
          <w:szCs w:val="24"/>
        </w:rPr>
        <w:t xml:space="preserve">2. </w:t>
      </w:r>
      <w:r w:rsidR="00EA2D40" w:rsidRPr="00C67CA3">
        <w:rPr>
          <w:rStyle w:val="FontStyle14"/>
          <w:sz w:val="24"/>
          <w:szCs w:val="24"/>
        </w:rPr>
        <w:t>Залог от първа величина на всички права, интереси и ползи по договори за предоставяне на услуги от Дружеството на десетте му най-големи промишлени клиенти (залог на договор).</w:t>
      </w:r>
    </w:p>
    <w:p w14:paraId="0F7294F9" w14:textId="77777777" w:rsidR="00D05E54" w:rsidRDefault="00F9365B" w:rsidP="00891C26">
      <w:pPr>
        <w:pStyle w:val="Style5"/>
        <w:widowControl/>
        <w:tabs>
          <w:tab w:val="left" w:pos="142"/>
        </w:tabs>
        <w:spacing w:line="276" w:lineRule="auto"/>
        <w:ind w:left="705" w:firstLine="0"/>
      </w:pPr>
      <w:r>
        <w:t>Към 31.12.2019 година заемът е напълно погасен.</w:t>
      </w:r>
    </w:p>
    <w:p w14:paraId="39C9CFCD" w14:textId="5C8158C3" w:rsidR="003550AF" w:rsidRDefault="003550AF" w:rsidP="00891C26">
      <w:pPr>
        <w:pStyle w:val="Style5"/>
        <w:widowControl/>
        <w:tabs>
          <w:tab w:val="left" w:pos="142"/>
        </w:tabs>
        <w:spacing w:line="276" w:lineRule="auto"/>
        <w:ind w:left="705" w:firstLine="0"/>
      </w:pPr>
    </w:p>
    <w:p w14:paraId="693720B5" w14:textId="02EEA0DD" w:rsidR="006A7C16" w:rsidRDefault="006A7C16" w:rsidP="00891C26">
      <w:pPr>
        <w:pStyle w:val="Style5"/>
        <w:widowControl/>
        <w:tabs>
          <w:tab w:val="left" w:pos="142"/>
        </w:tabs>
        <w:spacing w:line="276" w:lineRule="auto"/>
        <w:ind w:left="705" w:firstLine="0"/>
      </w:pPr>
    </w:p>
    <w:p w14:paraId="179E0159" w14:textId="23A67C9E" w:rsidR="006A7C16" w:rsidRDefault="006A7C16" w:rsidP="00891C26">
      <w:pPr>
        <w:pStyle w:val="Style5"/>
        <w:widowControl/>
        <w:tabs>
          <w:tab w:val="left" w:pos="142"/>
        </w:tabs>
        <w:spacing w:line="276" w:lineRule="auto"/>
        <w:ind w:left="705" w:firstLine="0"/>
      </w:pPr>
    </w:p>
    <w:p w14:paraId="4507763D" w14:textId="4A4FEEE1" w:rsidR="006A7C16" w:rsidRDefault="006A7C16" w:rsidP="00891C26">
      <w:pPr>
        <w:pStyle w:val="Style5"/>
        <w:widowControl/>
        <w:tabs>
          <w:tab w:val="left" w:pos="142"/>
        </w:tabs>
        <w:spacing w:line="276" w:lineRule="auto"/>
        <w:ind w:left="705" w:firstLine="0"/>
      </w:pPr>
    </w:p>
    <w:p w14:paraId="778C1D14" w14:textId="77777777" w:rsidR="006A7C16" w:rsidRPr="00C67CA3" w:rsidRDefault="006A7C16" w:rsidP="00891C26">
      <w:pPr>
        <w:pStyle w:val="Style5"/>
        <w:widowControl/>
        <w:tabs>
          <w:tab w:val="left" w:pos="142"/>
        </w:tabs>
        <w:spacing w:line="276" w:lineRule="auto"/>
        <w:ind w:left="705" w:firstLine="0"/>
      </w:pPr>
    </w:p>
    <w:p w14:paraId="0E35BFEC" w14:textId="77777777" w:rsidR="00835A5A" w:rsidRPr="00C67CA3" w:rsidRDefault="007E7782" w:rsidP="00891C26">
      <w:pPr>
        <w:pStyle w:val="ListParagraph"/>
        <w:widowControl/>
        <w:numPr>
          <w:ilvl w:val="0"/>
          <w:numId w:val="35"/>
        </w:numPr>
        <w:tabs>
          <w:tab w:val="left" w:pos="851"/>
        </w:tabs>
        <w:autoSpaceDE/>
        <w:autoSpaceDN/>
        <w:adjustRightInd/>
        <w:spacing w:after="240" w:line="276" w:lineRule="auto"/>
        <w:ind w:left="851" w:hanging="284"/>
        <w:jc w:val="both"/>
        <w:rPr>
          <w:b/>
        </w:rPr>
      </w:pPr>
      <w:r w:rsidRPr="00C67CA3">
        <w:rPr>
          <w:b/>
        </w:rPr>
        <w:lastRenderedPageBreak/>
        <w:t>Информация относно сключените от Дружеството, от негово дъщерно дружество или дружество майка, в качеството им на заемодатели, договори за заем, включително предоставяне на гаранции от всякакъв вид, в това число на свързани лица, с посочване на конкретните условия по тях, включително на крайните срокове за плащане, и целта, за която са били отпуснати;</w:t>
      </w:r>
    </w:p>
    <w:p w14:paraId="3F10690C" w14:textId="3488B58C" w:rsidR="001B0A54" w:rsidRPr="00C67CA3" w:rsidRDefault="003B48CD" w:rsidP="00891C26">
      <w:pPr>
        <w:pStyle w:val="BodyText"/>
        <w:spacing w:after="0" w:line="276" w:lineRule="auto"/>
        <w:ind w:firstLine="851"/>
        <w:jc w:val="both"/>
        <w:rPr>
          <w:rStyle w:val="FontStyle14"/>
          <w:sz w:val="24"/>
          <w:szCs w:val="24"/>
        </w:rPr>
      </w:pPr>
      <w:r w:rsidRPr="00C67CA3">
        <w:t xml:space="preserve">През </w:t>
      </w:r>
      <w:r w:rsidRPr="00C67CA3">
        <w:rPr>
          <w:rStyle w:val="FontStyle14"/>
          <w:sz w:val="24"/>
          <w:szCs w:val="24"/>
        </w:rPr>
        <w:t xml:space="preserve">2016 г. </w:t>
      </w:r>
      <w:r w:rsidR="007E7782" w:rsidRPr="00C67CA3">
        <w:rPr>
          <w:rStyle w:val="FontStyle14"/>
          <w:sz w:val="24"/>
          <w:szCs w:val="24"/>
        </w:rPr>
        <w:t xml:space="preserve">Дружеството е </w:t>
      </w:r>
      <w:r w:rsidR="00DE2EC6" w:rsidRPr="00C67CA3">
        <w:rPr>
          <w:rStyle w:val="FontStyle14"/>
          <w:sz w:val="24"/>
          <w:szCs w:val="24"/>
        </w:rPr>
        <w:t>сключило договор за цесия</w:t>
      </w:r>
      <w:r w:rsidR="003F41D3">
        <w:rPr>
          <w:rStyle w:val="FontStyle14"/>
          <w:sz w:val="24"/>
          <w:szCs w:val="24"/>
        </w:rPr>
        <w:t>,</w:t>
      </w:r>
      <w:r w:rsidR="00DE2EC6" w:rsidRPr="00C67CA3">
        <w:rPr>
          <w:rStyle w:val="FontStyle14"/>
          <w:sz w:val="24"/>
          <w:szCs w:val="24"/>
        </w:rPr>
        <w:t xml:space="preserve"> с който </w:t>
      </w:r>
      <w:r w:rsidR="008646D5" w:rsidRPr="00C67CA3">
        <w:rPr>
          <w:rStyle w:val="FontStyle14"/>
          <w:sz w:val="24"/>
          <w:szCs w:val="24"/>
        </w:rPr>
        <w:t>„Енергийна финансова група“ АД прехвърля възмездно на „Водоснабдяване и канализация“</w:t>
      </w:r>
      <w:r w:rsidR="00D61E87" w:rsidRPr="00C67CA3">
        <w:rPr>
          <w:rStyle w:val="FontStyle14"/>
          <w:sz w:val="24"/>
          <w:szCs w:val="24"/>
        </w:rPr>
        <w:t xml:space="preserve"> </w:t>
      </w:r>
      <w:r w:rsidR="008646D5" w:rsidRPr="00C67CA3">
        <w:rPr>
          <w:rStyle w:val="FontStyle14"/>
          <w:sz w:val="24"/>
          <w:szCs w:val="24"/>
        </w:rPr>
        <w:t>ЕАД</w:t>
      </w:r>
      <w:r w:rsidR="00D05E54" w:rsidRPr="00C67CA3">
        <w:rPr>
          <w:rStyle w:val="FontStyle14"/>
          <w:sz w:val="24"/>
          <w:szCs w:val="24"/>
        </w:rPr>
        <w:t>,</w:t>
      </w:r>
      <w:r w:rsidR="008646D5" w:rsidRPr="00C67CA3">
        <w:rPr>
          <w:rStyle w:val="FontStyle14"/>
          <w:sz w:val="24"/>
          <w:szCs w:val="24"/>
        </w:rPr>
        <w:t xml:space="preserve"> гр. Бургас</w:t>
      </w:r>
      <w:r w:rsidR="007E7782" w:rsidRPr="00C67CA3">
        <w:rPr>
          <w:rStyle w:val="FontStyle14"/>
          <w:sz w:val="24"/>
          <w:szCs w:val="24"/>
        </w:rPr>
        <w:t xml:space="preserve"> </w:t>
      </w:r>
      <w:r w:rsidR="008646D5" w:rsidRPr="00C67CA3">
        <w:rPr>
          <w:rStyle w:val="FontStyle14"/>
          <w:sz w:val="24"/>
          <w:szCs w:val="24"/>
        </w:rPr>
        <w:t xml:space="preserve">вземането си </w:t>
      </w:r>
      <w:r w:rsidR="003F41D3">
        <w:rPr>
          <w:rStyle w:val="FontStyle14"/>
          <w:sz w:val="24"/>
          <w:szCs w:val="24"/>
        </w:rPr>
        <w:t>от</w:t>
      </w:r>
      <w:r w:rsidR="008646D5" w:rsidRPr="00C67CA3">
        <w:rPr>
          <w:rStyle w:val="FontStyle14"/>
          <w:sz w:val="24"/>
          <w:szCs w:val="24"/>
        </w:rPr>
        <w:t xml:space="preserve"> </w:t>
      </w:r>
      <w:r w:rsidR="007E7782" w:rsidRPr="00C67CA3">
        <w:rPr>
          <w:rStyle w:val="FontStyle14"/>
          <w:sz w:val="24"/>
          <w:szCs w:val="24"/>
        </w:rPr>
        <w:t xml:space="preserve"> </w:t>
      </w:r>
      <w:r w:rsidR="00312D22" w:rsidRPr="00C67CA3">
        <w:rPr>
          <w:rStyle w:val="FontStyle14"/>
          <w:sz w:val="24"/>
          <w:szCs w:val="24"/>
        </w:rPr>
        <w:t>„Водоснабдяване и канализация</w:t>
      </w:r>
      <w:r w:rsidR="003F41D3">
        <w:rPr>
          <w:rStyle w:val="FontStyle14"/>
          <w:sz w:val="24"/>
          <w:szCs w:val="24"/>
        </w:rPr>
        <w:t xml:space="preserve"> Добрич</w:t>
      </w:r>
      <w:r w:rsidR="00312D22" w:rsidRPr="00C67CA3">
        <w:rPr>
          <w:rStyle w:val="FontStyle14"/>
          <w:sz w:val="24"/>
          <w:szCs w:val="24"/>
        </w:rPr>
        <w:t>“ АД</w:t>
      </w:r>
      <w:r w:rsidR="00457BC5" w:rsidRPr="00C67CA3">
        <w:rPr>
          <w:rStyle w:val="FontStyle14"/>
          <w:sz w:val="24"/>
          <w:szCs w:val="24"/>
        </w:rPr>
        <w:t>,</w:t>
      </w:r>
      <w:r w:rsidR="00312D22" w:rsidRPr="00C67CA3">
        <w:rPr>
          <w:rStyle w:val="FontStyle14"/>
          <w:sz w:val="24"/>
          <w:szCs w:val="24"/>
        </w:rPr>
        <w:t xml:space="preserve"> гр.</w:t>
      </w:r>
      <w:r w:rsidR="00D61E87" w:rsidRPr="00C67CA3">
        <w:rPr>
          <w:rStyle w:val="FontStyle14"/>
          <w:sz w:val="24"/>
          <w:szCs w:val="24"/>
        </w:rPr>
        <w:t xml:space="preserve"> </w:t>
      </w:r>
      <w:r w:rsidR="00312D22" w:rsidRPr="00C67CA3">
        <w:rPr>
          <w:rStyle w:val="FontStyle14"/>
          <w:sz w:val="24"/>
          <w:szCs w:val="24"/>
        </w:rPr>
        <w:t>Добрич в размер на 7 </w:t>
      </w:r>
      <w:r w:rsidR="00457BC5" w:rsidRPr="00C67CA3">
        <w:rPr>
          <w:rStyle w:val="FontStyle14"/>
          <w:sz w:val="24"/>
          <w:szCs w:val="24"/>
        </w:rPr>
        <w:t xml:space="preserve">134 </w:t>
      </w:r>
      <w:r w:rsidR="00312D22" w:rsidRPr="00C67CA3">
        <w:rPr>
          <w:rStyle w:val="FontStyle14"/>
          <w:sz w:val="24"/>
          <w:szCs w:val="24"/>
        </w:rPr>
        <w:t>хил.</w:t>
      </w:r>
      <w:r w:rsidR="000E330C">
        <w:rPr>
          <w:rStyle w:val="FontStyle14"/>
          <w:sz w:val="24"/>
          <w:szCs w:val="24"/>
        </w:rPr>
        <w:t xml:space="preserve"> </w:t>
      </w:r>
      <w:r w:rsidR="00312D22" w:rsidRPr="00C67CA3">
        <w:rPr>
          <w:rStyle w:val="FontStyle14"/>
          <w:sz w:val="24"/>
          <w:szCs w:val="24"/>
        </w:rPr>
        <w:t>лв.</w:t>
      </w:r>
      <w:r w:rsidR="003550AF">
        <w:rPr>
          <w:rStyle w:val="FontStyle14"/>
          <w:sz w:val="24"/>
          <w:szCs w:val="24"/>
        </w:rPr>
        <w:t xml:space="preserve"> През 2019 г. Дружеството е сключило договор за цесия, с който „ЕНЕРГО-ПРО Продажби” АД и „Електроразпределение Север” АД прехвърлят на „Водоснабдяване и канализация” ЕАД гр. Бургас вземанията си от „Водоснабдяване и канализация Добрич” АД</w:t>
      </w:r>
      <w:r w:rsidR="003F41D3">
        <w:rPr>
          <w:rStyle w:val="FontStyle14"/>
          <w:sz w:val="24"/>
          <w:szCs w:val="24"/>
        </w:rPr>
        <w:t>,</w:t>
      </w:r>
      <w:r w:rsidR="003550AF">
        <w:rPr>
          <w:rStyle w:val="FontStyle14"/>
          <w:sz w:val="24"/>
          <w:szCs w:val="24"/>
        </w:rPr>
        <w:t xml:space="preserve"> възлизащи съответно на 93 хил. лв</w:t>
      </w:r>
      <w:r w:rsidR="000E330C">
        <w:rPr>
          <w:rStyle w:val="FontStyle14"/>
          <w:sz w:val="24"/>
          <w:szCs w:val="24"/>
        </w:rPr>
        <w:t>.</w:t>
      </w:r>
      <w:r w:rsidR="003550AF">
        <w:rPr>
          <w:rStyle w:val="FontStyle14"/>
          <w:sz w:val="24"/>
          <w:szCs w:val="24"/>
        </w:rPr>
        <w:t xml:space="preserve"> и 1 762 хил.</w:t>
      </w:r>
      <w:r w:rsidR="000E330C">
        <w:rPr>
          <w:rStyle w:val="FontStyle14"/>
          <w:sz w:val="24"/>
          <w:szCs w:val="24"/>
        </w:rPr>
        <w:t xml:space="preserve"> </w:t>
      </w:r>
      <w:r w:rsidR="003550AF">
        <w:rPr>
          <w:rStyle w:val="FontStyle14"/>
          <w:sz w:val="24"/>
          <w:szCs w:val="24"/>
        </w:rPr>
        <w:t>лв.</w:t>
      </w:r>
    </w:p>
    <w:p w14:paraId="739AC08E" w14:textId="77777777" w:rsidR="002F6D9A" w:rsidRPr="00C67CA3" w:rsidRDefault="002F6D9A" w:rsidP="00891C26">
      <w:pPr>
        <w:pStyle w:val="BodyText"/>
        <w:spacing w:line="276" w:lineRule="auto"/>
        <w:ind w:firstLine="851"/>
        <w:jc w:val="both"/>
      </w:pPr>
      <w:r w:rsidRPr="00C67CA3">
        <w:rPr>
          <w:rStyle w:val="FontStyle14"/>
          <w:sz w:val="24"/>
          <w:szCs w:val="24"/>
        </w:rPr>
        <w:t>Към 31 декември 201</w:t>
      </w:r>
      <w:r w:rsidR="00101B5B">
        <w:rPr>
          <w:rStyle w:val="FontStyle14"/>
          <w:sz w:val="24"/>
          <w:szCs w:val="24"/>
        </w:rPr>
        <w:t>9</w:t>
      </w:r>
      <w:r w:rsidRPr="00C67CA3">
        <w:rPr>
          <w:rStyle w:val="FontStyle14"/>
          <w:sz w:val="24"/>
          <w:szCs w:val="24"/>
        </w:rPr>
        <w:t xml:space="preserve"> г. са наложени ограничения върху парични средства в разплащателни</w:t>
      </w:r>
      <w:r w:rsidRPr="00C67CA3">
        <w:t xml:space="preserve"> сметки в </w:t>
      </w:r>
      <w:r w:rsidRPr="007C6483">
        <w:rPr>
          <w:rStyle w:val="FontStyle14"/>
          <w:sz w:val="24"/>
          <w:szCs w:val="24"/>
        </w:rPr>
        <w:t>размер</w:t>
      </w:r>
      <w:r w:rsidRPr="00C67CA3">
        <w:t xml:space="preserve"> на 130 хил. лв. по банкова гаранция в полза на Асоциацията по ВиК.</w:t>
      </w:r>
    </w:p>
    <w:p w14:paraId="12DA0791" w14:textId="77777777" w:rsidR="0052190F" w:rsidRPr="00C67CA3" w:rsidRDefault="0052190F" w:rsidP="00891C26">
      <w:pPr>
        <w:pStyle w:val="Style5"/>
        <w:widowControl/>
        <w:tabs>
          <w:tab w:val="left" w:pos="142"/>
        </w:tabs>
        <w:spacing w:line="276" w:lineRule="auto"/>
        <w:ind w:left="705" w:firstLine="0"/>
      </w:pPr>
    </w:p>
    <w:p w14:paraId="51610271" w14:textId="77777777" w:rsidR="00354498" w:rsidRPr="00C67CA3" w:rsidRDefault="007E7782" w:rsidP="00891C26">
      <w:pPr>
        <w:pStyle w:val="ListParagraph"/>
        <w:widowControl/>
        <w:numPr>
          <w:ilvl w:val="0"/>
          <w:numId w:val="35"/>
        </w:numPr>
        <w:tabs>
          <w:tab w:val="left" w:pos="993"/>
        </w:tabs>
        <w:autoSpaceDE/>
        <w:autoSpaceDN/>
        <w:adjustRightInd/>
        <w:spacing w:after="240" w:line="276" w:lineRule="auto"/>
        <w:ind w:left="993" w:hanging="426"/>
        <w:jc w:val="both"/>
        <w:rPr>
          <w:b/>
        </w:rPr>
      </w:pPr>
      <w:r w:rsidRPr="00C67CA3">
        <w:rPr>
          <w:b/>
        </w:rPr>
        <w:t>Информация за използването на средства от извършена нова емисия ценни книжа през отчетния период</w:t>
      </w:r>
      <w:r w:rsidR="008A2E95" w:rsidRPr="00C67CA3">
        <w:rPr>
          <w:b/>
        </w:rPr>
        <w:t>;</w:t>
      </w:r>
    </w:p>
    <w:p w14:paraId="11A78ECE" w14:textId="77777777" w:rsidR="00354498" w:rsidRPr="00C67CA3" w:rsidRDefault="00354498" w:rsidP="00891C26">
      <w:pPr>
        <w:pStyle w:val="BodyText"/>
        <w:spacing w:line="276" w:lineRule="auto"/>
        <w:ind w:firstLine="851"/>
        <w:jc w:val="both"/>
      </w:pPr>
      <w:r w:rsidRPr="007C6483">
        <w:rPr>
          <w:rStyle w:val="FontStyle14"/>
          <w:sz w:val="24"/>
          <w:szCs w:val="24"/>
        </w:rPr>
        <w:t>Дружеството</w:t>
      </w:r>
      <w:r w:rsidRPr="00C67CA3">
        <w:t xml:space="preserve"> не </w:t>
      </w:r>
      <w:r w:rsidRPr="00C67CA3">
        <w:rPr>
          <w:rStyle w:val="FontStyle14"/>
          <w:sz w:val="24"/>
          <w:szCs w:val="24"/>
        </w:rPr>
        <w:t>емитира</w:t>
      </w:r>
      <w:r w:rsidRPr="00C67CA3">
        <w:t xml:space="preserve"> ценни книжа.</w:t>
      </w:r>
    </w:p>
    <w:p w14:paraId="77D46A80" w14:textId="77777777" w:rsidR="0052190F" w:rsidRPr="00C67CA3" w:rsidRDefault="0052190F" w:rsidP="00891C26">
      <w:pPr>
        <w:pStyle w:val="Style5"/>
        <w:widowControl/>
        <w:tabs>
          <w:tab w:val="left" w:pos="142"/>
        </w:tabs>
        <w:spacing w:line="276" w:lineRule="auto"/>
        <w:ind w:left="705" w:firstLine="0"/>
      </w:pPr>
    </w:p>
    <w:p w14:paraId="2B06BA4B" w14:textId="77777777" w:rsidR="00876BDA" w:rsidRPr="00C67CA3" w:rsidRDefault="00876BDA" w:rsidP="00891C26">
      <w:pPr>
        <w:pStyle w:val="ListParagraph"/>
        <w:widowControl/>
        <w:numPr>
          <w:ilvl w:val="0"/>
          <w:numId w:val="35"/>
        </w:numPr>
        <w:tabs>
          <w:tab w:val="left" w:pos="993"/>
        </w:tabs>
        <w:autoSpaceDE/>
        <w:autoSpaceDN/>
        <w:adjustRightInd/>
        <w:spacing w:after="240" w:line="276" w:lineRule="auto"/>
        <w:ind w:left="993" w:hanging="426"/>
        <w:jc w:val="both"/>
        <w:rPr>
          <w:b/>
        </w:rPr>
      </w:pPr>
      <w:r w:rsidRPr="00C67CA3">
        <w:rPr>
          <w:b/>
        </w:rPr>
        <w:t>Анализ на съотношението между постигнатите финансови резултати, отразени във финансовия отчет за финансовата година и по-рано публикувани прогнози за тези резултати</w:t>
      </w:r>
      <w:r w:rsidR="008A2E95" w:rsidRPr="00C67CA3">
        <w:rPr>
          <w:b/>
        </w:rPr>
        <w:t>;</w:t>
      </w:r>
    </w:p>
    <w:p w14:paraId="3C25AA96" w14:textId="77777777" w:rsidR="00876BDA" w:rsidRPr="00C67CA3" w:rsidRDefault="00A20B5D" w:rsidP="00891C26">
      <w:pPr>
        <w:pStyle w:val="BodyText"/>
        <w:spacing w:line="276" w:lineRule="auto"/>
        <w:ind w:firstLine="851"/>
        <w:jc w:val="both"/>
      </w:pPr>
      <w:r w:rsidRPr="00C67CA3">
        <w:t xml:space="preserve">Няма </w:t>
      </w:r>
      <w:r w:rsidRPr="00C67CA3">
        <w:rPr>
          <w:rStyle w:val="FontStyle14"/>
          <w:sz w:val="24"/>
          <w:szCs w:val="24"/>
        </w:rPr>
        <w:t>публикувани</w:t>
      </w:r>
      <w:r w:rsidRPr="00C67CA3">
        <w:t xml:space="preserve"> прогнози.</w:t>
      </w:r>
    </w:p>
    <w:p w14:paraId="0C0E0015" w14:textId="77777777" w:rsidR="00835A5A" w:rsidRPr="00C67CA3" w:rsidRDefault="007E7782" w:rsidP="00891C26">
      <w:pPr>
        <w:pStyle w:val="ListParagraph"/>
        <w:widowControl/>
        <w:numPr>
          <w:ilvl w:val="0"/>
          <w:numId w:val="35"/>
        </w:numPr>
        <w:tabs>
          <w:tab w:val="left" w:pos="993"/>
        </w:tabs>
        <w:autoSpaceDE/>
        <w:autoSpaceDN/>
        <w:adjustRightInd/>
        <w:spacing w:after="240" w:line="276" w:lineRule="auto"/>
        <w:ind w:left="993" w:hanging="426"/>
        <w:jc w:val="both"/>
        <w:rPr>
          <w:b/>
        </w:rPr>
      </w:pPr>
      <w:r w:rsidRPr="00C67CA3">
        <w:rPr>
          <w:b/>
        </w:rPr>
        <w:t>Анализ и оценка на политиката относно управлението на финансовите ресурси с посочване на възможностите за обслужване на задълженията, евентуалните заплахи и мерки, които Дружеството, е предприело или предстои да предприеме с оглед отстраняването им;</w:t>
      </w:r>
    </w:p>
    <w:p w14:paraId="1025D2F7" w14:textId="77777777" w:rsidR="00D448D8" w:rsidRPr="00C67CA3" w:rsidRDefault="007E7782" w:rsidP="00891C26">
      <w:pPr>
        <w:pStyle w:val="BodyText"/>
        <w:spacing w:line="276" w:lineRule="auto"/>
        <w:ind w:firstLine="851"/>
        <w:jc w:val="both"/>
      </w:pPr>
      <w:r w:rsidRPr="00C67CA3">
        <w:t xml:space="preserve">Управлението на риска </w:t>
      </w:r>
      <w:r w:rsidR="00933E31" w:rsidRPr="00C67CA3">
        <w:t xml:space="preserve">относно управлението на финансовите ресурси </w:t>
      </w:r>
      <w:r w:rsidRPr="00C67CA3">
        <w:t xml:space="preserve">се </w:t>
      </w:r>
      <w:r w:rsidRPr="00C67CA3">
        <w:rPr>
          <w:rStyle w:val="FontStyle14"/>
          <w:sz w:val="24"/>
          <w:szCs w:val="24"/>
        </w:rPr>
        <w:t>осъществява</w:t>
      </w:r>
      <w:r w:rsidRPr="00C67CA3">
        <w:t xml:space="preserve"> текущо от оперативното ръководство под ръководството на Съвет на директорите и Изпълнителен </w:t>
      </w:r>
      <w:r w:rsidRPr="007C6483">
        <w:rPr>
          <w:rStyle w:val="FontStyle14"/>
          <w:sz w:val="24"/>
          <w:szCs w:val="24"/>
        </w:rPr>
        <w:t>директор</w:t>
      </w:r>
      <w:r w:rsidRPr="00C67CA3">
        <w:t xml:space="preserve">. </w:t>
      </w:r>
    </w:p>
    <w:p w14:paraId="161AFD17" w14:textId="77777777" w:rsidR="00933E31" w:rsidRPr="007C6483" w:rsidRDefault="00933E31" w:rsidP="00891C26">
      <w:pPr>
        <w:pStyle w:val="BodyText"/>
        <w:spacing w:line="276" w:lineRule="auto"/>
        <w:ind w:firstLine="851"/>
        <w:jc w:val="both"/>
        <w:rPr>
          <w:rStyle w:val="FontStyle14"/>
          <w:sz w:val="24"/>
          <w:szCs w:val="24"/>
        </w:rPr>
      </w:pPr>
      <w:r w:rsidRPr="00C67CA3">
        <w:t xml:space="preserve">Дружеството е изложено на различни видове рискове по отношение на финансовите си инструменти. Най-значимите финансови рискове, на които е изложено Дружеството </w:t>
      </w:r>
      <w:r w:rsidRPr="007C6483">
        <w:rPr>
          <w:rStyle w:val="FontStyle14"/>
          <w:sz w:val="24"/>
          <w:szCs w:val="24"/>
        </w:rPr>
        <w:t>са пазарен риск, кредитен риск и ликвиден риск.</w:t>
      </w:r>
    </w:p>
    <w:p w14:paraId="246C070A" w14:textId="77777777" w:rsidR="00933E31" w:rsidRPr="00C67CA3" w:rsidRDefault="00933E31" w:rsidP="00891C26">
      <w:pPr>
        <w:pStyle w:val="BodyText"/>
        <w:spacing w:line="276" w:lineRule="auto"/>
        <w:ind w:firstLine="851"/>
        <w:jc w:val="both"/>
      </w:pPr>
      <w:r w:rsidRPr="007C6483">
        <w:rPr>
          <w:rStyle w:val="FontStyle14"/>
          <w:sz w:val="24"/>
          <w:szCs w:val="24"/>
        </w:rPr>
        <w:t>Приоритет на ръководството е да осигури краткосрочните и средносрочни парични потоци. Вследствие</w:t>
      </w:r>
      <w:r w:rsidRPr="00C67CA3">
        <w:t xml:space="preserve"> на използването на финансови инструменти Дружеството е изложено на пазарен риск и по-конкретно на риск от промени във валутния курс, лихвен риск, както и риск от промяната на конкретни цени, което се дължи на оперативната и </w:t>
      </w:r>
      <w:r w:rsidRPr="00C67CA3">
        <w:lastRenderedPageBreak/>
        <w:t>инвестиционната дейност на Дружеството.</w:t>
      </w:r>
    </w:p>
    <w:p w14:paraId="5F56E080" w14:textId="77777777" w:rsidR="00933E31" w:rsidRPr="00C67CA3" w:rsidRDefault="00933E31" w:rsidP="00891C26">
      <w:pPr>
        <w:pStyle w:val="BodyText"/>
        <w:spacing w:after="0" w:line="276" w:lineRule="auto"/>
        <w:ind w:firstLine="851"/>
        <w:jc w:val="both"/>
        <w:rPr>
          <w:b/>
        </w:rPr>
      </w:pPr>
      <w:r w:rsidRPr="00C67CA3">
        <w:rPr>
          <w:b/>
        </w:rPr>
        <w:t>Валутен риск</w:t>
      </w:r>
    </w:p>
    <w:p w14:paraId="22EF6E7C" w14:textId="77777777" w:rsidR="00933E31" w:rsidRPr="00C67CA3" w:rsidRDefault="00933E31" w:rsidP="00891C26">
      <w:pPr>
        <w:pStyle w:val="BodyText"/>
        <w:spacing w:line="276" w:lineRule="auto"/>
        <w:ind w:firstLine="851"/>
        <w:jc w:val="both"/>
      </w:pPr>
      <w:r w:rsidRPr="00C67CA3">
        <w:t>По-голямата част от сделките на Дружеството се осъществяват в български лева. Дружеството е изложено на валутен риск, поради това, че има задължения по кредити, които са деноминирани в чуждестранна валута. Основните сделки, осъществявани от дружеството, са деноминирани в български лева и във евро. Българският лев е привързан към еврото, поради което Дружеството е изложено на несъществени валутни рискове при осъществяване на сделки в евро. По тази причина, дружеството не използва специални финансови инструменти за хеджиране на този риск.</w:t>
      </w:r>
    </w:p>
    <w:p w14:paraId="566E58AC" w14:textId="77777777" w:rsidR="00933E31" w:rsidRPr="00C67CA3" w:rsidRDefault="00933E31" w:rsidP="00891C26">
      <w:pPr>
        <w:pStyle w:val="BodyText"/>
        <w:spacing w:after="0" w:line="276" w:lineRule="auto"/>
        <w:ind w:firstLine="851"/>
        <w:jc w:val="both"/>
        <w:rPr>
          <w:b/>
        </w:rPr>
      </w:pPr>
      <w:r w:rsidRPr="00C67CA3">
        <w:rPr>
          <w:b/>
        </w:rPr>
        <w:t>Лихвен риск</w:t>
      </w:r>
    </w:p>
    <w:p w14:paraId="624C9F37" w14:textId="77777777" w:rsidR="00933E31" w:rsidRPr="00C67CA3" w:rsidRDefault="00933E31" w:rsidP="00891C26">
      <w:pPr>
        <w:pStyle w:val="BodyText"/>
        <w:spacing w:line="276" w:lineRule="auto"/>
        <w:ind w:firstLine="851"/>
        <w:jc w:val="both"/>
      </w:pPr>
      <w:r w:rsidRPr="00C67CA3">
        <w:t>Политиката на Дружеството е насочена към минимизиране на лихвения риск при дългосрочно финансиране. Лихвеният риск представлява риска от колебание в размера на задълженията по заемите на дружеството, дължащо се на изменението на пазарните лихвени проценти. Дружеството ползва дългосрочен кредит, който му е отпуснат от Европейската банка за възстановяване и развитие. Лихвата по кредита е с плаващи проценти по непогасената част от главницата, поради което дружеството е изложено на лихвен риск по тези кредити. Дружеството извършва постоянен мониторинг и анализ на основни си лихвени експозиции като разработва различни сценарии за оптимизиране например рефинансиране, подновяване на съществуващи заеми, алтернативно финансиране и изчислява влиянието на промяната на лихвения процент в определен диапазон върху финансовия резултат.</w:t>
      </w:r>
    </w:p>
    <w:p w14:paraId="3084EDED" w14:textId="77777777" w:rsidR="00933E31" w:rsidRPr="00C67CA3" w:rsidRDefault="00933E31" w:rsidP="00891C26">
      <w:pPr>
        <w:pStyle w:val="BodyText"/>
        <w:spacing w:after="0" w:line="276" w:lineRule="auto"/>
        <w:ind w:firstLine="851"/>
        <w:jc w:val="both"/>
        <w:rPr>
          <w:b/>
        </w:rPr>
      </w:pPr>
      <w:r w:rsidRPr="00C67CA3">
        <w:rPr>
          <w:b/>
        </w:rPr>
        <w:t>Анализ на кредитния риск</w:t>
      </w:r>
    </w:p>
    <w:p w14:paraId="76A87AFB" w14:textId="77777777" w:rsidR="00933E31" w:rsidRPr="00C67CA3" w:rsidRDefault="00933E31" w:rsidP="00891C26">
      <w:pPr>
        <w:pStyle w:val="BodyText"/>
        <w:spacing w:line="276" w:lineRule="auto"/>
        <w:ind w:firstLine="851"/>
        <w:jc w:val="both"/>
      </w:pPr>
      <w:r w:rsidRPr="00C67CA3">
        <w:t>Кредитният риск е рискът едната страна по финансовия инструмент да не успее да изпълни задължението си и по този начин да причини загуба на другата. Дружеството е изложено на кредитен риск, тъй като има значителна експозиция на вземания от клиенти по осъществявани продажби. Съгласно приложимата нормативна база дружеството има задължение да осигури снабдяването с вода и в случаи на невъзможност за плащане от страна на неговите клиенти, поради което е налице съсредоточаване на значителен кредитен риск. Политиката на дружеството в тази област е свързана с разработване на различни продукти, свързани с подобряване събираемостта на вземанията, както и предприемане на действия за завеждане на съдебни дела срещу некоректни клиенти.</w:t>
      </w:r>
    </w:p>
    <w:p w14:paraId="3882DFE0" w14:textId="77777777" w:rsidR="00933E31" w:rsidRPr="00C67CA3" w:rsidRDefault="00933E31" w:rsidP="00891C26">
      <w:pPr>
        <w:pStyle w:val="BodyText"/>
        <w:spacing w:after="0" w:line="276" w:lineRule="auto"/>
        <w:ind w:firstLine="851"/>
        <w:jc w:val="both"/>
        <w:rPr>
          <w:b/>
        </w:rPr>
      </w:pPr>
      <w:r w:rsidRPr="00C67CA3">
        <w:rPr>
          <w:b/>
        </w:rPr>
        <w:t>Анализ на ликвидния риск</w:t>
      </w:r>
    </w:p>
    <w:p w14:paraId="0FD37569" w14:textId="77777777" w:rsidR="00933E31" w:rsidRPr="00C67CA3" w:rsidRDefault="00933E31" w:rsidP="00891C26">
      <w:pPr>
        <w:pStyle w:val="BodyText"/>
        <w:spacing w:line="276" w:lineRule="auto"/>
        <w:ind w:firstLine="851"/>
        <w:jc w:val="both"/>
      </w:pPr>
      <w:r w:rsidRPr="00C67CA3">
        <w:t xml:space="preserve">Ликвидният риск представлява рискът Дружеството да не може да погаси своите задължения. Дружеството посреща нуждите си от ликвидни средства, като внимателно следи плащанията по погасителните планове на дългосрочните финансови задължения, както и входящите и изходящи парични потоци, възникващи в хода на оперативната дейност. Нуждите от ликвидни средства се следят за различни времеви периоди - ежедневно и ежеседмично, както и на базата на 30-дневни прогнози. Нуждите от ликвидни средства в дългосрочен план - за периоди от 180 и 360 дни, се определят месечно. Дружеството държи пари в брой за да посреща ликвидните си нужди за периоди до 30 дни. Средства за дългосрочните ликвидни нужди се осигуряват от оперативната </w:t>
      </w:r>
      <w:r w:rsidRPr="00C67CA3">
        <w:lastRenderedPageBreak/>
        <w:t>дейност.</w:t>
      </w:r>
    </w:p>
    <w:p w14:paraId="3E4BF93D" w14:textId="77777777" w:rsidR="00933E31" w:rsidRPr="00C67CA3" w:rsidRDefault="00933E31" w:rsidP="00891C26">
      <w:pPr>
        <w:pStyle w:val="BodyText"/>
        <w:spacing w:line="276" w:lineRule="auto"/>
        <w:ind w:firstLine="851"/>
        <w:jc w:val="both"/>
      </w:pPr>
      <w:r w:rsidRPr="00C67CA3">
        <w:t>При оценяването и управлението на ликвидния риск Дружеството отчита очакваните парични потоци от финансови инструменти, по-специално наличните парични средства и търговски вземания. Наличните парични ресурси и търговски вземания  надвишават значително текущите нужди от изходящ паричен поток. Съгласно сключените договори всички парични потоци от търговски и други вземания са дължими в срок до шест месеца.</w:t>
      </w:r>
    </w:p>
    <w:p w14:paraId="03A56691" w14:textId="77777777" w:rsidR="00F36505" w:rsidRPr="00F36505" w:rsidRDefault="00F36505" w:rsidP="00891C26">
      <w:pPr>
        <w:pStyle w:val="Style5"/>
        <w:widowControl/>
        <w:tabs>
          <w:tab w:val="left" w:pos="142"/>
        </w:tabs>
        <w:spacing w:line="276" w:lineRule="auto"/>
        <w:ind w:left="705" w:firstLine="0"/>
      </w:pPr>
    </w:p>
    <w:p w14:paraId="7B5C6E23" w14:textId="77777777" w:rsidR="0079756F" w:rsidRPr="00C67CA3" w:rsidRDefault="007E7782" w:rsidP="00891C26">
      <w:pPr>
        <w:pStyle w:val="ListParagraph"/>
        <w:widowControl/>
        <w:numPr>
          <w:ilvl w:val="0"/>
          <w:numId w:val="35"/>
        </w:numPr>
        <w:tabs>
          <w:tab w:val="left" w:pos="993"/>
        </w:tabs>
        <w:autoSpaceDE/>
        <w:autoSpaceDN/>
        <w:adjustRightInd/>
        <w:spacing w:after="240" w:line="276" w:lineRule="auto"/>
        <w:ind w:left="993" w:hanging="426"/>
        <w:jc w:val="both"/>
        <w:rPr>
          <w:b/>
        </w:rPr>
      </w:pPr>
      <w:r w:rsidRPr="00C67CA3">
        <w:rPr>
          <w:b/>
        </w:rPr>
        <w:t>Оценка на възможностите за реализация на инвестиционните намерения с посочване на размера на разполагаемите средства и отразяване на възможните пр</w:t>
      </w:r>
      <w:r w:rsidR="0094128B">
        <w:rPr>
          <w:b/>
        </w:rPr>
        <w:t>о</w:t>
      </w:r>
      <w:r w:rsidRPr="00C67CA3">
        <w:rPr>
          <w:b/>
        </w:rPr>
        <w:t>мени в структурата на финансиране на тази дейност.</w:t>
      </w:r>
    </w:p>
    <w:p w14:paraId="23FA2E07" w14:textId="77777777" w:rsidR="002E4DC0" w:rsidRPr="00841FB3" w:rsidRDefault="007E7782" w:rsidP="00891C26">
      <w:pPr>
        <w:pStyle w:val="BodyText"/>
        <w:spacing w:after="0" w:line="276" w:lineRule="auto"/>
        <w:ind w:firstLine="851"/>
        <w:jc w:val="both"/>
      </w:pPr>
      <w:r w:rsidRPr="00841FB3">
        <w:t>Дружеството има възможност за реализация на инвестиционните си намерения.</w:t>
      </w:r>
    </w:p>
    <w:p w14:paraId="4FC47904" w14:textId="77777777" w:rsidR="002E4DC0" w:rsidRPr="00841FB3" w:rsidRDefault="007E7782" w:rsidP="00891C26">
      <w:pPr>
        <w:pStyle w:val="BodyText"/>
        <w:spacing w:after="0" w:line="276" w:lineRule="auto"/>
        <w:ind w:firstLine="851"/>
        <w:jc w:val="both"/>
      </w:pPr>
      <w:r w:rsidRPr="00841FB3">
        <w:t>За необходими капиталови разходи дружеството традиционно ползва собствени средства. При необходимост има добър достъп до финансиране.</w:t>
      </w:r>
    </w:p>
    <w:p w14:paraId="3F636A51" w14:textId="77777777" w:rsidR="002E4DC0" w:rsidRPr="00C67CA3" w:rsidRDefault="007E7782" w:rsidP="00891C26">
      <w:pPr>
        <w:pStyle w:val="BodyText"/>
        <w:spacing w:after="0" w:line="276" w:lineRule="auto"/>
        <w:ind w:firstLine="851"/>
        <w:jc w:val="both"/>
      </w:pPr>
      <w:r w:rsidRPr="00841FB3">
        <w:t>Дружеството няма проблем при погасяване както на краткосрочните, така и на дългосрочните си задължения</w:t>
      </w:r>
      <w:r w:rsidRPr="00C67CA3">
        <w:t>.</w:t>
      </w:r>
    </w:p>
    <w:p w14:paraId="0F76528B" w14:textId="77777777" w:rsidR="00835A5A" w:rsidRPr="00C67CA3" w:rsidRDefault="007E7782" w:rsidP="00891C26">
      <w:pPr>
        <w:pStyle w:val="ListParagraph"/>
        <w:widowControl/>
        <w:numPr>
          <w:ilvl w:val="0"/>
          <w:numId w:val="35"/>
        </w:numPr>
        <w:tabs>
          <w:tab w:val="left" w:pos="993"/>
        </w:tabs>
        <w:autoSpaceDE/>
        <w:autoSpaceDN/>
        <w:adjustRightInd/>
        <w:spacing w:after="240" w:line="276" w:lineRule="auto"/>
        <w:ind w:left="993" w:hanging="426"/>
        <w:jc w:val="both"/>
        <w:rPr>
          <w:b/>
        </w:rPr>
      </w:pPr>
      <w:r w:rsidRPr="00C67CA3">
        <w:rPr>
          <w:b/>
        </w:rPr>
        <w:t>Информация за настъпили промени през отчетния период в основните принципи за управление на Дружеството, и на неговата група предприятия по смисъла на Закона за счетоводството;</w:t>
      </w:r>
    </w:p>
    <w:p w14:paraId="494957E4" w14:textId="77777777" w:rsidR="001B0A54" w:rsidRPr="00C67CA3" w:rsidRDefault="007E7782" w:rsidP="00891C26">
      <w:pPr>
        <w:pStyle w:val="BodyText"/>
        <w:spacing w:line="276" w:lineRule="auto"/>
        <w:ind w:firstLine="851"/>
        <w:jc w:val="both"/>
      </w:pPr>
      <w:r w:rsidRPr="00C67CA3">
        <w:t>През 201</w:t>
      </w:r>
      <w:r w:rsidR="00101B5B">
        <w:t>9</w:t>
      </w:r>
      <w:r w:rsidRPr="00C67CA3">
        <w:t xml:space="preserve"> г. няма настъпили промени в основните принципи за управление на Дружеството и на </w:t>
      </w:r>
      <w:r w:rsidRPr="00C67CA3">
        <w:rPr>
          <w:rStyle w:val="FontStyle14"/>
          <w:sz w:val="24"/>
          <w:szCs w:val="24"/>
        </w:rPr>
        <w:t>неговата</w:t>
      </w:r>
      <w:r w:rsidRPr="00C67CA3">
        <w:t xml:space="preserve"> икономическа група.</w:t>
      </w:r>
    </w:p>
    <w:p w14:paraId="1DBDA4EA" w14:textId="77777777" w:rsidR="00F36505" w:rsidRPr="00C67CA3" w:rsidRDefault="00F36505" w:rsidP="00891C26">
      <w:pPr>
        <w:pStyle w:val="Style5"/>
        <w:widowControl/>
        <w:tabs>
          <w:tab w:val="left" w:pos="142"/>
        </w:tabs>
        <w:spacing w:line="276" w:lineRule="auto"/>
        <w:ind w:firstLine="0"/>
      </w:pPr>
    </w:p>
    <w:p w14:paraId="4D6E1D7B" w14:textId="77777777" w:rsidR="00835A5A" w:rsidRPr="00C67CA3" w:rsidRDefault="007E7782" w:rsidP="00891C26">
      <w:pPr>
        <w:pStyle w:val="ListParagraph"/>
        <w:widowControl/>
        <w:numPr>
          <w:ilvl w:val="0"/>
          <w:numId w:val="35"/>
        </w:numPr>
        <w:tabs>
          <w:tab w:val="left" w:pos="993"/>
        </w:tabs>
        <w:autoSpaceDE/>
        <w:autoSpaceDN/>
        <w:adjustRightInd/>
        <w:spacing w:after="240" w:line="276" w:lineRule="auto"/>
        <w:ind w:left="993" w:hanging="426"/>
        <w:jc w:val="both"/>
        <w:rPr>
          <w:b/>
        </w:rPr>
      </w:pPr>
      <w:r w:rsidRPr="00C67CA3">
        <w:rPr>
          <w:b/>
        </w:rPr>
        <w:t>Информация за основните характеристики на прилаганите от Дружеството в процеса на изготвяне на финансовите отчети система за вътрешен контрол и система за управление на рискове;</w:t>
      </w:r>
    </w:p>
    <w:p w14:paraId="146DE023" w14:textId="77777777" w:rsidR="00DF24B8" w:rsidRPr="00D3588F" w:rsidRDefault="007E7782" w:rsidP="00891C26">
      <w:pPr>
        <w:pStyle w:val="BodyText"/>
        <w:spacing w:after="0" w:line="276" w:lineRule="auto"/>
        <w:ind w:firstLine="851"/>
        <w:jc w:val="both"/>
      </w:pPr>
      <w:r w:rsidRPr="00C67CA3">
        <w:rPr>
          <w:rStyle w:val="FontStyle14"/>
          <w:sz w:val="24"/>
          <w:szCs w:val="24"/>
        </w:rPr>
        <w:t xml:space="preserve">Дружеството има </w:t>
      </w:r>
      <w:r w:rsidRPr="00D3588F">
        <w:t>разработени и утвърдени вътрешни правила и процедури по отношение на системите за вътр</w:t>
      </w:r>
      <w:r w:rsidR="00D3588F">
        <w:t>ешен контрол и отчетност.</w:t>
      </w:r>
    </w:p>
    <w:p w14:paraId="563C5A22" w14:textId="77777777" w:rsidR="00DF24B8" w:rsidRPr="00C67CA3" w:rsidRDefault="007E7782" w:rsidP="00AF189B">
      <w:pPr>
        <w:pStyle w:val="BodyText"/>
        <w:spacing w:after="0" w:line="276" w:lineRule="auto"/>
        <w:ind w:firstLine="851"/>
        <w:jc w:val="both"/>
        <w:rPr>
          <w:rStyle w:val="FontStyle14"/>
          <w:sz w:val="24"/>
          <w:szCs w:val="24"/>
        </w:rPr>
      </w:pPr>
      <w:r w:rsidRPr="00D3588F">
        <w:t>Системата за вътрешен контрол на Дружеството се характеризира с това, че включва в себе си цялостната политика и процедури (за вътрешен контрол), възприети от ръководството на Дружеството за постигане на неговите цели и гарантира, доколкото това е практически възможно, ред и ефективност при осъществяването на дейността на Дружеството, включително придържане към управленската политика, защита на активите на предприятието</w:t>
      </w:r>
      <w:r w:rsidRPr="00C67CA3">
        <w:rPr>
          <w:rStyle w:val="FontStyle14"/>
          <w:sz w:val="24"/>
          <w:szCs w:val="24"/>
        </w:rPr>
        <w:t>, установяване и предотвратяване на измами и грешки, пълнота и правилност на счетоводната документация, както и навременно изготвяне на надеждна финансова информация. Системата за вътрешен контрол обхваща не само области, касаещи директно функциите на счетоводната система, но и много по-широки проблеми.</w:t>
      </w:r>
    </w:p>
    <w:p w14:paraId="645AA5C3" w14:textId="77777777" w:rsidR="00DF24B8" w:rsidRPr="00C67CA3" w:rsidRDefault="007E7782" w:rsidP="00891C26">
      <w:pPr>
        <w:spacing w:line="276" w:lineRule="auto"/>
        <w:ind w:firstLine="851"/>
        <w:jc w:val="both"/>
        <w:rPr>
          <w:rStyle w:val="FontStyle14"/>
          <w:sz w:val="24"/>
          <w:szCs w:val="24"/>
        </w:rPr>
      </w:pPr>
      <w:r w:rsidRPr="00C67CA3">
        <w:rPr>
          <w:rStyle w:val="FontStyle14"/>
          <w:sz w:val="24"/>
          <w:szCs w:val="24"/>
        </w:rPr>
        <w:t xml:space="preserve">Вътрешният контрол по отношение на отчетната система се занимава с постигането на следните </w:t>
      </w:r>
      <w:r w:rsidRPr="00926261">
        <w:rPr>
          <w:rStyle w:val="FontStyle14"/>
          <w:sz w:val="24"/>
          <w:szCs w:val="24"/>
        </w:rPr>
        <w:t>цели</w:t>
      </w:r>
      <w:r w:rsidRPr="00C67CA3">
        <w:rPr>
          <w:rStyle w:val="FontStyle14"/>
          <w:sz w:val="24"/>
          <w:szCs w:val="24"/>
        </w:rPr>
        <w:t>:</w:t>
      </w:r>
    </w:p>
    <w:p w14:paraId="04961AC3" w14:textId="77777777" w:rsidR="00DF24B8" w:rsidRPr="00C67CA3" w:rsidRDefault="005A5955" w:rsidP="00891C26">
      <w:pPr>
        <w:spacing w:line="276" w:lineRule="auto"/>
        <w:ind w:firstLine="851"/>
        <w:jc w:val="both"/>
        <w:rPr>
          <w:rStyle w:val="FontStyle14"/>
          <w:sz w:val="24"/>
          <w:szCs w:val="24"/>
        </w:rPr>
      </w:pPr>
      <w:r w:rsidRPr="00C67CA3">
        <w:rPr>
          <w:rStyle w:val="FontStyle14"/>
          <w:sz w:val="24"/>
          <w:szCs w:val="24"/>
        </w:rPr>
        <w:t xml:space="preserve">1. </w:t>
      </w:r>
      <w:r w:rsidR="007E7782" w:rsidRPr="00C67CA3">
        <w:rPr>
          <w:rStyle w:val="FontStyle14"/>
          <w:sz w:val="24"/>
          <w:szCs w:val="24"/>
        </w:rPr>
        <w:t xml:space="preserve">Всички операции да се извършват след получаване на общо или конкретно </w:t>
      </w:r>
      <w:r w:rsidR="007E7782" w:rsidRPr="00C67CA3">
        <w:rPr>
          <w:rStyle w:val="FontStyle14"/>
          <w:sz w:val="24"/>
          <w:szCs w:val="24"/>
        </w:rPr>
        <w:lastRenderedPageBreak/>
        <w:t>разрешение от страна на ръководството и в съответствие със законовите и подзаконови нормативни актове;</w:t>
      </w:r>
    </w:p>
    <w:p w14:paraId="0D8D540E" w14:textId="77777777" w:rsidR="00DF24B8" w:rsidRPr="00C67CA3" w:rsidRDefault="005A5955" w:rsidP="00891C26">
      <w:pPr>
        <w:spacing w:line="276" w:lineRule="auto"/>
        <w:ind w:firstLine="851"/>
        <w:jc w:val="both"/>
        <w:rPr>
          <w:rStyle w:val="FontStyle14"/>
          <w:sz w:val="24"/>
          <w:szCs w:val="24"/>
        </w:rPr>
      </w:pPr>
      <w:r w:rsidRPr="00C67CA3">
        <w:rPr>
          <w:rStyle w:val="FontStyle14"/>
          <w:sz w:val="24"/>
          <w:szCs w:val="24"/>
        </w:rPr>
        <w:t xml:space="preserve">2. </w:t>
      </w:r>
      <w:r w:rsidR="007E7782" w:rsidRPr="00C67CA3">
        <w:rPr>
          <w:rStyle w:val="FontStyle14"/>
          <w:sz w:val="24"/>
          <w:szCs w:val="24"/>
        </w:rPr>
        <w:t>Всички операции и други събития се отразяват своевременно и с точен размер на сумите в подходящите сметки и за съответния отчетен период, така че да позволят изготвянето на финансовите отчети в съответствие с конкретно зададена рамка за финансова отчетност;</w:t>
      </w:r>
    </w:p>
    <w:p w14:paraId="01DE4CD2" w14:textId="77777777" w:rsidR="00DF24B8" w:rsidRPr="00C67CA3" w:rsidRDefault="005A5955" w:rsidP="00891C26">
      <w:pPr>
        <w:spacing w:line="276" w:lineRule="auto"/>
        <w:ind w:firstLine="851"/>
        <w:jc w:val="both"/>
        <w:rPr>
          <w:rStyle w:val="FontStyle14"/>
          <w:sz w:val="24"/>
          <w:szCs w:val="24"/>
        </w:rPr>
      </w:pPr>
      <w:r w:rsidRPr="00C67CA3">
        <w:rPr>
          <w:rStyle w:val="FontStyle14"/>
          <w:sz w:val="24"/>
          <w:szCs w:val="24"/>
        </w:rPr>
        <w:t xml:space="preserve">3. </w:t>
      </w:r>
      <w:r w:rsidR="007E7782" w:rsidRPr="00C67CA3">
        <w:rPr>
          <w:rStyle w:val="FontStyle14"/>
          <w:sz w:val="24"/>
          <w:szCs w:val="24"/>
        </w:rPr>
        <w:t>Достъпът до активите и регистрите е позволен само след съответно разрешение от страна на ръководството;</w:t>
      </w:r>
    </w:p>
    <w:p w14:paraId="4835BC73" w14:textId="77777777" w:rsidR="00DF24B8" w:rsidRPr="00C67CA3" w:rsidRDefault="005A5955" w:rsidP="00891C26">
      <w:pPr>
        <w:spacing w:line="276" w:lineRule="auto"/>
        <w:ind w:firstLine="851"/>
        <w:jc w:val="both"/>
        <w:rPr>
          <w:rStyle w:val="FontStyle14"/>
          <w:sz w:val="24"/>
          <w:szCs w:val="24"/>
        </w:rPr>
      </w:pPr>
      <w:r w:rsidRPr="00C67CA3">
        <w:rPr>
          <w:rStyle w:val="FontStyle14"/>
          <w:sz w:val="24"/>
          <w:szCs w:val="24"/>
        </w:rPr>
        <w:t xml:space="preserve">4. </w:t>
      </w:r>
      <w:r w:rsidR="007E7782" w:rsidRPr="00C67CA3">
        <w:rPr>
          <w:rStyle w:val="FontStyle14"/>
          <w:sz w:val="24"/>
          <w:szCs w:val="24"/>
        </w:rPr>
        <w:t>Прави се периодична съпоставка между отчетените активи и физическата им наличност и при установяване на разлики се предприемат съответни действия.</w:t>
      </w:r>
    </w:p>
    <w:p w14:paraId="508B6F68" w14:textId="57636F76" w:rsidR="00F36505" w:rsidRDefault="00F36505" w:rsidP="00891C26">
      <w:pPr>
        <w:pStyle w:val="Style22"/>
        <w:widowControl/>
        <w:tabs>
          <w:tab w:val="left" w:pos="2702"/>
        </w:tabs>
        <w:spacing w:line="276" w:lineRule="auto"/>
        <w:jc w:val="both"/>
        <w:rPr>
          <w:rStyle w:val="FontStyle14"/>
          <w:sz w:val="24"/>
          <w:szCs w:val="24"/>
        </w:rPr>
      </w:pPr>
    </w:p>
    <w:p w14:paraId="103DBB48" w14:textId="77777777" w:rsidR="001B0A54" w:rsidRPr="00C67CA3" w:rsidRDefault="0060048F" w:rsidP="00891C26">
      <w:pPr>
        <w:pStyle w:val="ListParagraph"/>
        <w:widowControl/>
        <w:numPr>
          <w:ilvl w:val="0"/>
          <w:numId w:val="35"/>
        </w:numPr>
        <w:tabs>
          <w:tab w:val="left" w:pos="993"/>
        </w:tabs>
        <w:autoSpaceDE/>
        <w:autoSpaceDN/>
        <w:adjustRightInd/>
        <w:spacing w:line="276" w:lineRule="auto"/>
        <w:ind w:left="993" w:hanging="426"/>
        <w:jc w:val="both"/>
        <w:rPr>
          <w:rStyle w:val="FontStyle14"/>
          <w:b/>
          <w:sz w:val="24"/>
          <w:szCs w:val="24"/>
        </w:rPr>
      </w:pPr>
      <w:r w:rsidRPr="00C67CA3">
        <w:rPr>
          <w:rStyle w:val="FontStyle14"/>
          <w:b/>
          <w:sz w:val="24"/>
          <w:szCs w:val="24"/>
        </w:rPr>
        <w:t>Информация за промените в управителните и надзорните органи през отчетната финансова година</w:t>
      </w:r>
    </w:p>
    <w:p w14:paraId="2B466C1C" w14:textId="77777777" w:rsidR="0060048F" w:rsidRPr="00C67CA3" w:rsidRDefault="0060048F" w:rsidP="00891C26">
      <w:pPr>
        <w:pStyle w:val="BodyText"/>
        <w:spacing w:line="276" w:lineRule="auto"/>
        <w:ind w:firstLine="851"/>
        <w:jc w:val="both"/>
        <w:rPr>
          <w:rStyle w:val="FontStyle14"/>
          <w:sz w:val="24"/>
          <w:szCs w:val="24"/>
        </w:rPr>
      </w:pPr>
      <w:r w:rsidRPr="00C67CA3">
        <w:rPr>
          <w:rStyle w:val="FontStyle14"/>
          <w:sz w:val="24"/>
          <w:szCs w:val="24"/>
        </w:rPr>
        <w:t>През 201</w:t>
      </w:r>
      <w:r w:rsidR="00101B5B">
        <w:rPr>
          <w:rStyle w:val="FontStyle14"/>
          <w:sz w:val="24"/>
          <w:szCs w:val="24"/>
        </w:rPr>
        <w:t>9</w:t>
      </w:r>
      <w:r w:rsidRPr="00C67CA3">
        <w:rPr>
          <w:rStyle w:val="FontStyle14"/>
          <w:sz w:val="24"/>
          <w:szCs w:val="24"/>
        </w:rPr>
        <w:t xml:space="preserve"> г.</w:t>
      </w:r>
      <w:r w:rsidR="0094128B">
        <w:rPr>
          <w:rStyle w:val="FontStyle14"/>
          <w:sz w:val="24"/>
          <w:szCs w:val="24"/>
        </w:rPr>
        <w:t xml:space="preserve"> няма промяна в</w:t>
      </w:r>
      <w:r w:rsidR="000820E7">
        <w:rPr>
          <w:rStyle w:val="FontStyle14"/>
          <w:sz w:val="24"/>
          <w:szCs w:val="24"/>
        </w:rPr>
        <w:t xml:space="preserve"> състава на Съ</w:t>
      </w:r>
      <w:r w:rsidR="0094128B">
        <w:rPr>
          <w:rStyle w:val="FontStyle14"/>
          <w:sz w:val="24"/>
          <w:szCs w:val="24"/>
        </w:rPr>
        <w:t>вета на директорите.</w:t>
      </w:r>
    </w:p>
    <w:p w14:paraId="47AE356E" w14:textId="77777777" w:rsidR="001B0A54" w:rsidRPr="00C67CA3" w:rsidRDefault="007E7782" w:rsidP="00891C26">
      <w:pPr>
        <w:pStyle w:val="BodyText"/>
        <w:spacing w:line="276" w:lineRule="auto"/>
        <w:ind w:firstLine="851"/>
        <w:jc w:val="both"/>
        <w:rPr>
          <w:rStyle w:val="FontStyle14"/>
          <w:sz w:val="24"/>
          <w:szCs w:val="24"/>
        </w:rPr>
      </w:pPr>
      <w:r w:rsidRPr="00C67CA3">
        <w:rPr>
          <w:rStyle w:val="FontStyle14"/>
          <w:sz w:val="24"/>
          <w:szCs w:val="24"/>
        </w:rPr>
        <w:t>Дружеството е с едностепенна система на управление</w:t>
      </w:r>
      <w:r w:rsidR="00B62552" w:rsidRPr="00C67CA3">
        <w:rPr>
          <w:rStyle w:val="FontStyle14"/>
          <w:sz w:val="24"/>
          <w:szCs w:val="24"/>
        </w:rPr>
        <w:t xml:space="preserve">, със </w:t>
      </w:r>
      <w:r w:rsidRPr="00C67CA3">
        <w:rPr>
          <w:rStyle w:val="FontStyle14"/>
          <w:sz w:val="24"/>
          <w:szCs w:val="24"/>
        </w:rPr>
        <w:t>Съвет на директорите</w:t>
      </w:r>
      <w:r w:rsidR="00AB50D5" w:rsidRPr="00C67CA3">
        <w:rPr>
          <w:rStyle w:val="FontStyle14"/>
          <w:sz w:val="24"/>
          <w:szCs w:val="24"/>
        </w:rPr>
        <w:t>, в състав:</w:t>
      </w:r>
    </w:p>
    <w:p w14:paraId="01448CD7" w14:textId="77777777" w:rsidR="00AB50D5" w:rsidRPr="00C67CA3" w:rsidRDefault="00AB50D5" w:rsidP="00891C26">
      <w:pPr>
        <w:spacing w:line="276" w:lineRule="auto"/>
        <w:ind w:firstLine="851"/>
        <w:jc w:val="both"/>
        <w:rPr>
          <w:rStyle w:val="FontStyle14"/>
          <w:sz w:val="24"/>
          <w:szCs w:val="24"/>
        </w:rPr>
      </w:pPr>
      <w:r w:rsidRPr="00C67CA3">
        <w:rPr>
          <w:rStyle w:val="FontStyle14"/>
          <w:sz w:val="24"/>
          <w:szCs w:val="24"/>
        </w:rPr>
        <w:t>1.</w:t>
      </w:r>
      <w:r w:rsidR="00BA7EED" w:rsidRPr="00C67CA3">
        <w:rPr>
          <w:rStyle w:val="FontStyle14"/>
          <w:sz w:val="24"/>
          <w:szCs w:val="24"/>
        </w:rPr>
        <w:t xml:space="preserve"> </w:t>
      </w:r>
      <w:r w:rsidRPr="00C67CA3">
        <w:rPr>
          <w:rStyle w:val="FontStyle14"/>
          <w:sz w:val="24"/>
          <w:szCs w:val="24"/>
        </w:rPr>
        <w:t>Йоанис Партениотис – Председател</w:t>
      </w:r>
    </w:p>
    <w:p w14:paraId="3DDBB958" w14:textId="77777777" w:rsidR="00AB50D5" w:rsidRPr="00C67CA3" w:rsidRDefault="00AB50D5" w:rsidP="00891C26">
      <w:pPr>
        <w:spacing w:line="276" w:lineRule="auto"/>
        <w:ind w:firstLine="851"/>
        <w:jc w:val="both"/>
        <w:rPr>
          <w:rStyle w:val="FontStyle14"/>
          <w:sz w:val="24"/>
          <w:szCs w:val="24"/>
        </w:rPr>
      </w:pPr>
      <w:r w:rsidRPr="00C67CA3">
        <w:rPr>
          <w:rStyle w:val="FontStyle14"/>
          <w:sz w:val="24"/>
          <w:szCs w:val="24"/>
        </w:rPr>
        <w:t>2.</w:t>
      </w:r>
      <w:r w:rsidR="00BA7EED" w:rsidRPr="00C67CA3">
        <w:rPr>
          <w:rStyle w:val="FontStyle14"/>
          <w:sz w:val="24"/>
          <w:szCs w:val="24"/>
        </w:rPr>
        <w:t xml:space="preserve"> </w:t>
      </w:r>
      <w:r w:rsidR="00FB0D63">
        <w:rPr>
          <w:rStyle w:val="FontStyle14"/>
          <w:sz w:val="24"/>
          <w:szCs w:val="24"/>
        </w:rPr>
        <w:t>Кирил Желев</w:t>
      </w:r>
      <w:r w:rsidRPr="00C67CA3">
        <w:rPr>
          <w:rStyle w:val="FontStyle14"/>
          <w:sz w:val="24"/>
          <w:szCs w:val="24"/>
        </w:rPr>
        <w:t xml:space="preserve">– </w:t>
      </w:r>
      <w:r w:rsidR="000B272A" w:rsidRPr="00C67CA3">
        <w:rPr>
          <w:rStyle w:val="FontStyle14"/>
          <w:sz w:val="24"/>
          <w:szCs w:val="24"/>
        </w:rPr>
        <w:t>Ч</w:t>
      </w:r>
      <w:r w:rsidRPr="00C67CA3">
        <w:rPr>
          <w:rStyle w:val="FontStyle14"/>
          <w:sz w:val="24"/>
          <w:szCs w:val="24"/>
        </w:rPr>
        <w:t>лен</w:t>
      </w:r>
      <w:r w:rsidR="000B272A" w:rsidRPr="00C67CA3">
        <w:rPr>
          <w:rStyle w:val="FontStyle14"/>
          <w:sz w:val="24"/>
          <w:szCs w:val="24"/>
        </w:rPr>
        <w:t xml:space="preserve"> на съвета</w:t>
      </w:r>
    </w:p>
    <w:p w14:paraId="31624960" w14:textId="77777777" w:rsidR="00AB50D5" w:rsidRDefault="00AB50D5" w:rsidP="00891C26">
      <w:pPr>
        <w:spacing w:line="276" w:lineRule="auto"/>
        <w:ind w:firstLine="851"/>
        <w:jc w:val="both"/>
        <w:rPr>
          <w:rStyle w:val="FontStyle14"/>
          <w:sz w:val="24"/>
          <w:szCs w:val="24"/>
        </w:rPr>
      </w:pPr>
      <w:r w:rsidRPr="00C67CA3">
        <w:rPr>
          <w:rStyle w:val="FontStyle14"/>
          <w:sz w:val="24"/>
          <w:szCs w:val="24"/>
        </w:rPr>
        <w:t>3.</w:t>
      </w:r>
      <w:r w:rsidR="00BA7EED" w:rsidRPr="00C67CA3">
        <w:rPr>
          <w:rStyle w:val="FontStyle14"/>
          <w:sz w:val="24"/>
          <w:szCs w:val="24"/>
        </w:rPr>
        <w:t xml:space="preserve"> </w:t>
      </w:r>
      <w:r w:rsidR="00FB0D63">
        <w:rPr>
          <w:rStyle w:val="FontStyle14"/>
          <w:sz w:val="24"/>
          <w:szCs w:val="24"/>
        </w:rPr>
        <w:t>Ганчо Тенев</w:t>
      </w:r>
      <w:r w:rsidRPr="00C67CA3">
        <w:rPr>
          <w:rStyle w:val="FontStyle14"/>
          <w:sz w:val="24"/>
          <w:szCs w:val="24"/>
        </w:rPr>
        <w:t>– Изпълнителен директор</w:t>
      </w:r>
    </w:p>
    <w:p w14:paraId="22A5B61A" w14:textId="77777777" w:rsidR="000820E7" w:rsidRPr="00C67CA3" w:rsidRDefault="000820E7" w:rsidP="00891C26">
      <w:pPr>
        <w:spacing w:line="276" w:lineRule="auto"/>
        <w:ind w:firstLine="851"/>
        <w:jc w:val="both"/>
        <w:rPr>
          <w:rStyle w:val="FontStyle14"/>
          <w:sz w:val="24"/>
          <w:szCs w:val="24"/>
        </w:rPr>
      </w:pPr>
      <w:r>
        <w:rPr>
          <w:rStyle w:val="FontStyle14"/>
          <w:sz w:val="24"/>
          <w:szCs w:val="24"/>
        </w:rPr>
        <w:t xml:space="preserve">4. </w:t>
      </w:r>
      <w:r w:rsidRPr="000820E7">
        <w:rPr>
          <w:rStyle w:val="FontStyle14"/>
          <w:sz w:val="24"/>
          <w:szCs w:val="24"/>
        </w:rPr>
        <w:t>Наско Николов Драков</w:t>
      </w:r>
      <w:r w:rsidR="00FB0D63" w:rsidRPr="00C67CA3">
        <w:rPr>
          <w:rStyle w:val="FontStyle14"/>
          <w:sz w:val="24"/>
          <w:szCs w:val="24"/>
        </w:rPr>
        <w:t>– Член на съвета</w:t>
      </w:r>
    </w:p>
    <w:p w14:paraId="4A47CF33" w14:textId="77777777" w:rsidR="00F36505" w:rsidRPr="00C67CA3" w:rsidRDefault="00F36505" w:rsidP="00891C26">
      <w:pPr>
        <w:pStyle w:val="NormalWeb"/>
        <w:spacing w:before="0" w:after="0" w:line="276" w:lineRule="auto"/>
        <w:jc w:val="both"/>
        <w:rPr>
          <w:color w:val="auto"/>
          <w:szCs w:val="24"/>
          <w:lang w:val="bg-BG"/>
        </w:rPr>
      </w:pPr>
    </w:p>
    <w:p w14:paraId="3FE4A381" w14:textId="77777777" w:rsidR="00835A5A" w:rsidRPr="00C67CA3" w:rsidRDefault="007E7782" w:rsidP="00891C26">
      <w:pPr>
        <w:pStyle w:val="ListParagraph"/>
        <w:widowControl/>
        <w:numPr>
          <w:ilvl w:val="0"/>
          <w:numId w:val="35"/>
        </w:numPr>
        <w:tabs>
          <w:tab w:val="left" w:pos="993"/>
        </w:tabs>
        <w:autoSpaceDE/>
        <w:autoSpaceDN/>
        <w:adjustRightInd/>
        <w:spacing w:after="240" w:line="276" w:lineRule="auto"/>
        <w:ind w:left="993" w:hanging="426"/>
        <w:jc w:val="both"/>
        <w:rPr>
          <w:b/>
        </w:rPr>
      </w:pPr>
      <w:r w:rsidRPr="00C67CA3">
        <w:rPr>
          <w:b/>
        </w:rPr>
        <w:t>Информация за размера на възнагражденията, наградите и/или ползите на всеки от членовете на управителните и на контролните органи за отчетната финансова година, изплатени от Дружеството, и негови дъщерни дружества, независимо от това, дали са били включени в разходите на Дружеството, или произтичат от разпределение на печалбата, включително:</w:t>
      </w:r>
    </w:p>
    <w:p w14:paraId="41616CBF" w14:textId="77777777" w:rsidR="001B0A54" w:rsidRDefault="000C0D22" w:rsidP="00891C26">
      <w:pPr>
        <w:pStyle w:val="BodyText"/>
        <w:spacing w:line="276" w:lineRule="auto"/>
        <w:ind w:firstLine="851"/>
        <w:jc w:val="both"/>
        <w:rPr>
          <w:rStyle w:val="FontStyle14"/>
          <w:sz w:val="24"/>
          <w:szCs w:val="24"/>
        </w:rPr>
      </w:pPr>
      <w:r w:rsidRPr="00C67CA3">
        <w:rPr>
          <w:rStyle w:val="FontStyle14"/>
          <w:sz w:val="24"/>
          <w:szCs w:val="24"/>
        </w:rPr>
        <w:t xml:space="preserve">Изплатените възнаграждения на членовете на </w:t>
      </w:r>
      <w:r w:rsidR="000B272A" w:rsidRPr="00C67CA3">
        <w:rPr>
          <w:rStyle w:val="FontStyle14"/>
          <w:sz w:val="24"/>
          <w:szCs w:val="24"/>
        </w:rPr>
        <w:t>С</w:t>
      </w:r>
      <w:r w:rsidRPr="00C67CA3">
        <w:rPr>
          <w:rStyle w:val="FontStyle14"/>
          <w:sz w:val="24"/>
          <w:szCs w:val="24"/>
        </w:rPr>
        <w:t>ъвета на директорите през 201</w:t>
      </w:r>
      <w:r w:rsidR="00101B5B">
        <w:rPr>
          <w:rStyle w:val="FontStyle14"/>
          <w:sz w:val="24"/>
          <w:szCs w:val="24"/>
        </w:rPr>
        <w:t>9</w:t>
      </w:r>
      <w:r w:rsidRPr="00C67CA3">
        <w:rPr>
          <w:rStyle w:val="FontStyle14"/>
          <w:sz w:val="24"/>
          <w:szCs w:val="24"/>
        </w:rPr>
        <w:t xml:space="preserve"> г.</w:t>
      </w:r>
      <w:r w:rsidR="00F32AFB" w:rsidRPr="00C67CA3">
        <w:rPr>
          <w:rStyle w:val="FontStyle14"/>
          <w:sz w:val="24"/>
          <w:szCs w:val="24"/>
        </w:rPr>
        <w:t xml:space="preserve"> и 201</w:t>
      </w:r>
      <w:r w:rsidR="00101B5B">
        <w:rPr>
          <w:rStyle w:val="FontStyle14"/>
          <w:sz w:val="24"/>
          <w:szCs w:val="24"/>
        </w:rPr>
        <w:t>8</w:t>
      </w:r>
      <w:r w:rsidR="00F32AFB" w:rsidRPr="00C67CA3">
        <w:rPr>
          <w:rStyle w:val="FontStyle14"/>
          <w:sz w:val="24"/>
          <w:szCs w:val="24"/>
        </w:rPr>
        <w:t xml:space="preserve"> г. са както следва</w:t>
      </w:r>
      <w:r w:rsidR="000B272A" w:rsidRPr="00C67CA3">
        <w:rPr>
          <w:rStyle w:val="FontStyle14"/>
          <w:sz w:val="24"/>
          <w:szCs w:val="24"/>
        </w:rPr>
        <w:t>:</w:t>
      </w:r>
    </w:p>
    <w:tbl>
      <w:tblPr>
        <w:tblW w:w="8931" w:type="dxa"/>
        <w:tblInd w:w="70" w:type="dxa"/>
        <w:tblCellMar>
          <w:left w:w="70" w:type="dxa"/>
          <w:right w:w="70" w:type="dxa"/>
        </w:tblCellMar>
        <w:tblLook w:val="00A0" w:firstRow="1" w:lastRow="0" w:firstColumn="1" w:lastColumn="0" w:noHBand="0" w:noVBand="0"/>
      </w:tblPr>
      <w:tblGrid>
        <w:gridCol w:w="6096"/>
        <w:gridCol w:w="1417"/>
        <w:gridCol w:w="1418"/>
      </w:tblGrid>
      <w:tr w:rsidR="00101B5B" w:rsidRPr="007D038C" w14:paraId="1052D77D" w14:textId="77777777" w:rsidTr="00AF189B">
        <w:trPr>
          <w:trHeight w:val="181"/>
        </w:trPr>
        <w:tc>
          <w:tcPr>
            <w:tcW w:w="6096" w:type="dxa"/>
            <w:tcBorders>
              <w:top w:val="nil"/>
              <w:left w:val="nil"/>
              <w:bottom w:val="nil"/>
              <w:right w:val="nil"/>
            </w:tcBorders>
            <w:noWrap/>
            <w:vAlign w:val="bottom"/>
          </w:tcPr>
          <w:p w14:paraId="5195AFE8" w14:textId="77777777" w:rsidR="00101B5B" w:rsidRPr="0074727D" w:rsidRDefault="00101B5B" w:rsidP="00891C26">
            <w:pPr>
              <w:spacing w:line="276" w:lineRule="auto"/>
            </w:pPr>
          </w:p>
        </w:tc>
        <w:tc>
          <w:tcPr>
            <w:tcW w:w="1417" w:type="dxa"/>
            <w:tcBorders>
              <w:top w:val="nil"/>
              <w:left w:val="nil"/>
              <w:bottom w:val="nil"/>
              <w:right w:val="nil"/>
            </w:tcBorders>
            <w:shd w:val="clear" w:color="000000" w:fill="FFFFFF"/>
            <w:noWrap/>
          </w:tcPr>
          <w:p w14:paraId="768A2CEC" w14:textId="77777777" w:rsidR="00101B5B" w:rsidRPr="007D038C" w:rsidRDefault="00101B5B" w:rsidP="00891C26">
            <w:pPr>
              <w:spacing w:line="276" w:lineRule="auto"/>
              <w:jc w:val="right"/>
              <w:rPr>
                <w:b/>
                <w:bCs/>
              </w:rPr>
            </w:pPr>
            <w:r w:rsidRPr="007D038C">
              <w:rPr>
                <w:b/>
                <w:bCs/>
              </w:rPr>
              <w:t>201</w:t>
            </w:r>
            <w:r>
              <w:rPr>
                <w:b/>
                <w:bCs/>
              </w:rPr>
              <w:t>9</w:t>
            </w:r>
          </w:p>
        </w:tc>
        <w:tc>
          <w:tcPr>
            <w:tcW w:w="1418" w:type="dxa"/>
            <w:tcBorders>
              <w:top w:val="nil"/>
              <w:left w:val="nil"/>
              <w:bottom w:val="nil"/>
              <w:right w:val="nil"/>
            </w:tcBorders>
            <w:shd w:val="clear" w:color="000000" w:fill="FFFFFF"/>
          </w:tcPr>
          <w:p w14:paraId="2DEA4B2D" w14:textId="77777777" w:rsidR="00101B5B" w:rsidRPr="007D038C" w:rsidRDefault="00101B5B" w:rsidP="00891C26">
            <w:pPr>
              <w:spacing w:line="276" w:lineRule="auto"/>
              <w:jc w:val="right"/>
              <w:rPr>
                <w:b/>
                <w:bCs/>
              </w:rPr>
            </w:pPr>
            <w:r w:rsidRPr="007D038C">
              <w:rPr>
                <w:b/>
                <w:bCs/>
              </w:rPr>
              <w:t>201</w:t>
            </w:r>
            <w:r w:rsidRPr="007D038C">
              <w:rPr>
                <w:b/>
                <w:bCs/>
                <w:lang w:val="en-GB"/>
              </w:rPr>
              <w:t>8</w:t>
            </w:r>
          </w:p>
        </w:tc>
      </w:tr>
      <w:tr w:rsidR="00101B5B" w:rsidRPr="007D038C" w14:paraId="610DAA5C" w14:textId="77777777" w:rsidTr="00AF189B">
        <w:trPr>
          <w:trHeight w:val="181"/>
        </w:trPr>
        <w:tc>
          <w:tcPr>
            <w:tcW w:w="6096" w:type="dxa"/>
            <w:tcBorders>
              <w:top w:val="nil"/>
              <w:left w:val="nil"/>
              <w:bottom w:val="nil"/>
              <w:right w:val="nil"/>
            </w:tcBorders>
            <w:noWrap/>
            <w:vAlign w:val="bottom"/>
          </w:tcPr>
          <w:p w14:paraId="55219D97" w14:textId="77777777" w:rsidR="00101B5B" w:rsidRPr="007D038C" w:rsidRDefault="00101B5B" w:rsidP="00891C26">
            <w:pPr>
              <w:spacing w:line="276" w:lineRule="auto"/>
            </w:pPr>
          </w:p>
        </w:tc>
        <w:tc>
          <w:tcPr>
            <w:tcW w:w="1417" w:type="dxa"/>
            <w:tcBorders>
              <w:top w:val="nil"/>
              <w:left w:val="nil"/>
              <w:bottom w:val="nil"/>
              <w:right w:val="nil"/>
            </w:tcBorders>
            <w:shd w:val="clear" w:color="000000" w:fill="FFFFFF"/>
            <w:noWrap/>
          </w:tcPr>
          <w:p w14:paraId="05A79921" w14:textId="77777777" w:rsidR="00101B5B" w:rsidRPr="007D038C" w:rsidRDefault="00101B5B" w:rsidP="00891C26">
            <w:pPr>
              <w:spacing w:line="276" w:lineRule="auto"/>
              <w:jc w:val="right"/>
              <w:rPr>
                <w:b/>
                <w:bCs/>
              </w:rPr>
            </w:pPr>
            <w:r w:rsidRPr="007D038C">
              <w:rPr>
                <w:b/>
                <w:bCs/>
              </w:rPr>
              <w:t>‘000 лв.</w:t>
            </w:r>
          </w:p>
        </w:tc>
        <w:tc>
          <w:tcPr>
            <w:tcW w:w="1418" w:type="dxa"/>
            <w:tcBorders>
              <w:top w:val="nil"/>
              <w:left w:val="nil"/>
              <w:bottom w:val="nil"/>
              <w:right w:val="nil"/>
            </w:tcBorders>
            <w:shd w:val="clear" w:color="000000" w:fill="FFFFFF"/>
          </w:tcPr>
          <w:p w14:paraId="09AA305A" w14:textId="77777777" w:rsidR="00101B5B" w:rsidRPr="007D038C" w:rsidRDefault="00101B5B" w:rsidP="00891C26">
            <w:pPr>
              <w:spacing w:line="276" w:lineRule="auto"/>
              <w:jc w:val="right"/>
              <w:rPr>
                <w:b/>
                <w:bCs/>
              </w:rPr>
            </w:pPr>
            <w:r w:rsidRPr="007D038C">
              <w:rPr>
                <w:b/>
                <w:bCs/>
              </w:rPr>
              <w:t>‘000 лв.</w:t>
            </w:r>
          </w:p>
        </w:tc>
      </w:tr>
      <w:tr w:rsidR="00101B5B" w:rsidRPr="007D038C" w14:paraId="18D830CE" w14:textId="77777777" w:rsidTr="00AF189B">
        <w:trPr>
          <w:trHeight w:val="181"/>
        </w:trPr>
        <w:tc>
          <w:tcPr>
            <w:tcW w:w="6096" w:type="dxa"/>
            <w:tcBorders>
              <w:top w:val="nil"/>
              <w:left w:val="nil"/>
              <w:bottom w:val="nil"/>
              <w:right w:val="nil"/>
            </w:tcBorders>
            <w:noWrap/>
            <w:vAlign w:val="bottom"/>
          </w:tcPr>
          <w:p w14:paraId="644D7811" w14:textId="77777777" w:rsidR="00101B5B" w:rsidRPr="007D038C" w:rsidRDefault="00101B5B" w:rsidP="00891C26">
            <w:pPr>
              <w:spacing w:line="276" w:lineRule="auto"/>
            </w:pPr>
          </w:p>
        </w:tc>
        <w:tc>
          <w:tcPr>
            <w:tcW w:w="1417" w:type="dxa"/>
            <w:tcBorders>
              <w:top w:val="nil"/>
              <w:left w:val="nil"/>
              <w:bottom w:val="nil"/>
              <w:right w:val="nil"/>
            </w:tcBorders>
            <w:shd w:val="clear" w:color="000000" w:fill="FFFFFF"/>
            <w:noWrap/>
          </w:tcPr>
          <w:p w14:paraId="0B040C8E" w14:textId="77777777" w:rsidR="00101B5B" w:rsidRPr="007D038C" w:rsidRDefault="00101B5B" w:rsidP="00891C26">
            <w:pPr>
              <w:spacing w:line="276" w:lineRule="auto"/>
              <w:jc w:val="right"/>
              <w:rPr>
                <w:b/>
                <w:bCs/>
              </w:rPr>
            </w:pPr>
          </w:p>
        </w:tc>
        <w:tc>
          <w:tcPr>
            <w:tcW w:w="1418" w:type="dxa"/>
            <w:tcBorders>
              <w:top w:val="nil"/>
              <w:left w:val="nil"/>
              <w:bottom w:val="nil"/>
              <w:right w:val="nil"/>
            </w:tcBorders>
            <w:shd w:val="clear" w:color="000000" w:fill="FFFFFF"/>
          </w:tcPr>
          <w:p w14:paraId="35625809" w14:textId="77777777" w:rsidR="00101B5B" w:rsidRPr="007D038C" w:rsidRDefault="00101B5B" w:rsidP="00891C26">
            <w:pPr>
              <w:spacing w:line="276" w:lineRule="auto"/>
              <w:jc w:val="right"/>
              <w:rPr>
                <w:b/>
                <w:bCs/>
              </w:rPr>
            </w:pPr>
          </w:p>
        </w:tc>
      </w:tr>
      <w:tr w:rsidR="00101B5B" w:rsidRPr="007D038C" w14:paraId="6B67B499" w14:textId="77777777" w:rsidTr="00AF189B">
        <w:trPr>
          <w:trHeight w:val="181"/>
        </w:trPr>
        <w:tc>
          <w:tcPr>
            <w:tcW w:w="6096" w:type="dxa"/>
            <w:tcBorders>
              <w:top w:val="nil"/>
              <w:left w:val="nil"/>
              <w:bottom w:val="nil"/>
              <w:right w:val="nil"/>
            </w:tcBorders>
            <w:shd w:val="clear" w:color="000000" w:fill="FFFFFF"/>
          </w:tcPr>
          <w:p w14:paraId="38D51904" w14:textId="77777777" w:rsidR="00101B5B" w:rsidRPr="007D038C" w:rsidRDefault="00101B5B" w:rsidP="00891C26">
            <w:pPr>
              <w:spacing w:line="276" w:lineRule="auto"/>
            </w:pPr>
            <w:r w:rsidRPr="007D038C">
              <w:t>Краткосрочни възнаграждения:</w:t>
            </w:r>
          </w:p>
        </w:tc>
        <w:tc>
          <w:tcPr>
            <w:tcW w:w="1417" w:type="dxa"/>
            <w:tcBorders>
              <w:top w:val="nil"/>
              <w:left w:val="nil"/>
              <w:bottom w:val="nil"/>
              <w:right w:val="nil"/>
            </w:tcBorders>
            <w:shd w:val="clear" w:color="000000" w:fill="FFFFFF"/>
          </w:tcPr>
          <w:p w14:paraId="622D818C" w14:textId="77777777" w:rsidR="00101B5B" w:rsidRPr="007D038C" w:rsidRDefault="00101B5B" w:rsidP="00891C26">
            <w:pPr>
              <w:spacing w:line="276" w:lineRule="auto"/>
              <w:jc w:val="right"/>
            </w:pPr>
            <w:r w:rsidRPr="007D038C">
              <w:t> </w:t>
            </w:r>
          </w:p>
        </w:tc>
        <w:tc>
          <w:tcPr>
            <w:tcW w:w="1418" w:type="dxa"/>
            <w:tcBorders>
              <w:top w:val="nil"/>
              <w:left w:val="nil"/>
              <w:bottom w:val="nil"/>
              <w:right w:val="nil"/>
            </w:tcBorders>
            <w:shd w:val="clear" w:color="000000" w:fill="FFFFFF"/>
          </w:tcPr>
          <w:p w14:paraId="06CFC290" w14:textId="77777777" w:rsidR="00101B5B" w:rsidRPr="007D038C" w:rsidRDefault="00101B5B" w:rsidP="00891C26">
            <w:pPr>
              <w:spacing w:line="276" w:lineRule="auto"/>
              <w:jc w:val="right"/>
            </w:pPr>
            <w:r w:rsidRPr="007D038C">
              <w:t> </w:t>
            </w:r>
          </w:p>
        </w:tc>
      </w:tr>
      <w:tr w:rsidR="00101B5B" w:rsidRPr="007D038C" w14:paraId="6B3A8D99" w14:textId="77777777" w:rsidTr="00AF189B">
        <w:trPr>
          <w:trHeight w:val="181"/>
        </w:trPr>
        <w:tc>
          <w:tcPr>
            <w:tcW w:w="6096" w:type="dxa"/>
            <w:tcBorders>
              <w:top w:val="nil"/>
              <w:left w:val="nil"/>
              <w:bottom w:val="nil"/>
              <w:right w:val="nil"/>
            </w:tcBorders>
            <w:shd w:val="clear" w:color="000000" w:fill="FFFFFF"/>
          </w:tcPr>
          <w:p w14:paraId="04884AD2" w14:textId="77777777" w:rsidR="00101B5B" w:rsidRPr="007D038C" w:rsidRDefault="00101B5B" w:rsidP="00891C26">
            <w:pPr>
              <w:spacing w:line="276" w:lineRule="auto"/>
              <w:ind w:firstLineChars="100" w:firstLine="240"/>
            </w:pPr>
            <w:r w:rsidRPr="007D038C">
              <w:t>Заплати, включително  бонуси</w:t>
            </w:r>
          </w:p>
        </w:tc>
        <w:tc>
          <w:tcPr>
            <w:tcW w:w="1417" w:type="dxa"/>
            <w:tcBorders>
              <w:top w:val="nil"/>
              <w:left w:val="nil"/>
              <w:bottom w:val="nil"/>
              <w:right w:val="nil"/>
            </w:tcBorders>
            <w:shd w:val="clear" w:color="000000" w:fill="FFFFFF"/>
          </w:tcPr>
          <w:p w14:paraId="7BAB09DD" w14:textId="77777777" w:rsidR="00101B5B" w:rsidRPr="00C101D7" w:rsidRDefault="00101B5B" w:rsidP="00891C26">
            <w:pPr>
              <w:spacing w:line="276" w:lineRule="auto"/>
              <w:jc w:val="right"/>
              <w:rPr>
                <w:lang w:val="en-US"/>
              </w:rPr>
            </w:pPr>
            <w:r w:rsidRPr="00C101D7">
              <w:rPr>
                <w:lang w:val="en-US"/>
              </w:rPr>
              <w:t>1</w:t>
            </w:r>
            <w:r>
              <w:t>81</w:t>
            </w:r>
          </w:p>
        </w:tc>
        <w:tc>
          <w:tcPr>
            <w:tcW w:w="1418" w:type="dxa"/>
            <w:tcBorders>
              <w:top w:val="nil"/>
              <w:left w:val="nil"/>
              <w:bottom w:val="nil"/>
              <w:right w:val="nil"/>
            </w:tcBorders>
            <w:shd w:val="clear" w:color="000000" w:fill="FFFFFF"/>
          </w:tcPr>
          <w:p w14:paraId="6BA67099" w14:textId="77777777" w:rsidR="00101B5B" w:rsidRPr="00C101D7" w:rsidRDefault="00101B5B" w:rsidP="00891C26">
            <w:pPr>
              <w:spacing w:line="276" w:lineRule="auto"/>
              <w:jc w:val="right"/>
              <w:rPr>
                <w:lang w:val="en-US"/>
              </w:rPr>
            </w:pPr>
            <w:r w:rsidRPr="00C101D7">
              <w:rPr>
                <w:lang w:val="en-US"/>
              </w:rPr>
              <w:t>167</w:t>
            </w:r>
          </w:p>
        </w:tc>
      </w:tr>
      <w:tr w:rsidR="00101B5B" w:rsidRPr="007D038C" w14:paraId="10280130" w14:textId="77777777" w:rsidTr="00AF189B">
        <w:trPr>
          <w:trHeight w:val="181"/>
        </w:trPr>
        <w:tc>
          <w:tcPr>
            <w:tcW w:w="6096" w:type="dxa"/>
            <w:tcBorders>
              <w:top w:val="nil"/>
              <w:left w:val="nil"/>
              <w:bottom w:val="nil"/>
              <w:right w:val="nil"/>
            </w:tcBorders>
            <w:shd w:val="clear" w:color="000000" w:fill="FFFFFF"/>
          </w:tcPr>
          <w:p w14:paraId="405715B3" w14:textId="77777777" w:rsidR="00101B5B" w:rsidRPr="007D038C" w:rsidRDefault="00101B5B" w:rsidP="00891C26">
            <w:pPr>
              <w:spacing w:line="276" w:lineRule="auto"/>
              <w:ind w:firstLineChars="100" w:firstLine="240"/>
            </w:pPr>
            <w:r w:rsidRPr="007D038C">
              <w:t>Разходи за социални осигуровки</w:t>
            </w:r>
          </w:p>
        </w:tc>
        <w:tc>
          <w:tcPr>
            <w:tcW w:w="1417" w:type="dxa"/>
            <w:tcBorders>
              <w:top w:val="nil"/>
              <w:left w:val="nil"/>
              <w:right w:val="nil"/>
            </w:tcBorders>
            <w:shd w:val="clear" w:color="000000" w:fill="FFFFFF"/>
          </w:tcPr>
          <w:p w14:paraId="67E85C40" w14:textId="77777777" w:rsidR="00101B5B" w:rsidRPr="00C101D7" w:rsidRDefault="00101B5B" w:rsidP="00891C26">
            <w:pPr>
              <w:spacing w:line="276" w:lineRule="auto"/>
              <w:jc w:val="right"/>
              <w:rPr>
                <w:lang w:val="en-US"/>
              </w:rPr>
            </w:pPr>
            <w:r w:rsidRPr="00C101D7">
              <w:rPr>
                <w:lang w:val="en-US"/>
              </w:rPr>
              <w:t>1</w:t>
            </w:r>
            <w:r>
              <w:t>5</w:t>
            </w:r>
          </w:p>
        </w:tc>
        <w:tc>
          <w:tcPr>
            <w:tcW w:w="1418" w:type="dxa"/>
            <w:tcBorders>
              <w:top w:val="nil"/>
              <w:left w:val="nil"/>
              <w:right w:val="nil"/>
            </w:tcBorders>
            <w:shd w:val="clear" w:color="000000" w:fill="FFFFFF"/>
          </w:tcPr>
          <w:p w14:paraId="5827F67D" w14:textId="77777777" w:rsidR="00101B5B" w:rsidRPr="00C101D7" w:rsidRDefault="00101B5B" w:rsidP="00891C26">
            <w:pPr>
              <w:spacing w:line="276" w:lineRule="auto"/>
              <w:jc w:val="right"/>
              <w:rPr>
                <w:lang w:val="en-US"/>
              </w:rPr>
            </w:pPr>
            <w:r w:rsidRPr="00C101D7">
              <w:rPr>
                <w:lang w:val="en-US"/>
              </w:rPr>
              <w:t>12</w:t>
            </w:r>
          </w:p>
        </w:tc>
      </w:tr>
      <w:tr w:rsidR="00101B5B" w:rsidRPr="007D038C" w14:paraId="3CAD2095" w14:textId="77777777" w:rsidTr="00AF189B">
        <w:trPr>
          <w:trHeight w:val="180"/>
        </w:trPr>
        <w:tc>
          <w:tcPr>
            <w:tcW w:w="6096" w:type="dxa"/>
            <w:tcBorders>
              <w:top w:val="nil"/>
              <w:left w:val="nil"/>
              <w:bottom w:val="nil"/>
              <w:right w:val="nil"/>
            </w:tcBorders>
            <w:shd w:val="clear" w:color="000000" w:fill="FFFFFF"/>
          </w:tcPr>
          <w:p w14:paraId="69C257DD" w14:textId="77777777" w:rsidR="00101B5B" w:rsidRPr="007D038C" w:rsidRDefault="00101B5B" w:rsidP="00891C26">
            <w:pPr>
              <w:spacing w:line="276" w:lineRule="auto"/>
              <w:rPr>
                <w:b/>
              </w:rPr>
            </w:pPr>
            <w:r w:rsidRPr="007D038C">
              <w:rPr>
                <w:b/>
              </w:rPr>
              <w:t>Общо краткосрочни възнаграждения</w:t>
            </w:r>
          </w:p>
        </w:tc>
        <w:tc>
          <w:tcPr>
            <w:tcW w:w="1417" w:type="dxa"/>
            <w:tcBorders>
              <w:top w:val="single" w:sz="2" w:space="0" w:color="auto"/>
              <w:left w:val="nil"/>
              <w:bottom w:val="single" w:sz="2" w:space="0" w:color="auto"/>
              <w:right w:val="nil"/>
            </w:tcBorders>
            <w:shd w:val="clear" w:color="000000" w:fill="FFFFFF"/>
          </w:tcPr>
          <w:p w14:paraId="5FB1B9C9" w14:textId="77777777" w:rsidR="00101B5B" w:rsidRPr="00C101D7" w:rsidRDefault="00101B5B" w:rsidP="00891C26">
            <w:pPr>
              <w:spacing w:line="276" w:lineRule="auto"/>
              <w:jc w:val="right"/>
              <w:rPr>
                <w:b/>
                <w:lang w:val="en-US"/>
              </w:rPr>
            </w:pPr>
            <w:r w:rsidRPr="00C101D7">
              <w:rPr>
                <w:b/>
                <w:lang w:val="en-US"/>
              </w:rPr>
              <w:t>1</w:t>
            </w:r>
            <w:r>
              <w:rPr>
                <w:b/>
              </w:rPr>
              <w:t>96</w:t>
            </w:r>
          </w:p>
        </w:tc>
        <w:tc>
          <w:tcPr>
            <w:tcW w:w="1418" w:type="dxa"/>
            <w:tcBorders>
              <w:top w:val="single" w:sz="2" w:space="0" w:color="auto"/>
              <w:left w:val="nil"/>
              <w:bottom w:val="single" w:sz="2" w:space="0" w:color="auto"/>
              <w:right w:val="nil"/>
            </w:tcBorders>
            <w:shd w:val="clear" w:color="000000" w:fill="FFFFFF"/>
          </w:tcPr>
          <w:p w14:paraId="40314191" w14:textId="77777777" w:rsidR="00101B5B" w:rsidRPr="00C101D7" w:rsidRDefault="00101B5B" w:rsidP="00891C26">
            <w:pPr>
              <w:spacing w:line="276" w:lineRule="auto"/>
              <w:jc w:val="right"/>
              <w:rPr>
                <w:b/>
                <w:lang w:val="en-US"/>
              </w:rPr>
            </w:pPr>
            <w:r w:rsidRPr="00C101D7">
              <w:rPr>
                <w:b/>
                <w:lang w:val="en-US"/>
              </w:rPr>
              <w:t>179</w:t>
            </w:r>
          </w:p>
        </w:tc>
      </w:tr>
      <w:tr w:rsidR="00101B5B" w:rsidRPr="00804FFD" w14:paraId="5BCA7553" w14:textId="77777777" w:rsidTr="00AF189B">
        <w:trPr>
          <w:trHeight w:val="181"/>
        </w:trPr>
        <w:tc>
          <w:tcPr>
            <w:tcW w:w="6096" w:type="dxa"/>
            <w:tcBorders>
              <w:top w:val="nil"/>
              <w:left w:val="nil"/>
              <w:bottom w:val="nil"/>
              <w:right w:val="nil"/>
            </w:tcBorders>
            <w:shd w:val="clear" w:color="000000" w:fill="FFFFFF"/>
          </w:tcPr>
          <w:p w14:paraId="0EB98332" w14:textId="77777777" w:rsidR="00101B5B" w:rsidRPr="007D038C" w:rsidRDefault="00101B5B" w:rsidP="00891C26">
            <w:pPr>
              <w:spacing w:line="276" w:lineRule="auto"/>
              <w:rPr>
                <w:b/>
                <w:bCs/>
              </w:rPr>
            </w:pPr>
            <w:r w:rsidRPr="007D038C">
              <w:rPr>
                <w:b/>
                <w:bCs/>
              </w:rPr>
              <w:t>Общо възнаграждения</w:t>
            </w:r>
          </w:p>
        </w:tc>
        <w:tc>
          <w:tcPr>
            <w:tcW w:w="1417" w:type="dxa"/>
            <w:tcBorders>
              <w:top w:val="single" w:sz="2" w:space="0" w:color="auto"/>
              <w:left w:val="nil"/>
              <w:bottom w:val="double" w:sz="4" w:space="0" w:color="auto"/>
              <w:right w:val="nil"/>
            </w:tcBorders>
            <w:shd w:val="clear" w:color="000000" w:fill="FFFFFF"/>
          </w:tcPr>
          <w:p w14:paraId="7DEACFC1" w14:textId="77777777" w:rsidR="00101B5B" w:rsidRPr="007D038C" w:rsidRDefault="00101B5B" w:rsidP="00891C26">
            <w:pPr>
              <w:spacing w:line="276" w:lineRule="auto"/>
              <w:jc w:val="right"/>
              <w:rPr>
                <w:b/>
                <w:bCs/>
                <w:lang w:val="en-US"/>
              </w:rPr>
            </w:pPr>
            <w:r w:rsidRPr="00C101D7">
              <w:rPr>
                <w:b/>
                <w:bCs/>
                <w:lang w:val="en-US"/>
              </w:rPr>
              <w:t>1</w:t>
            </w:r>
            <w:r>
              <w:rPr>
                <w:b/>
                <w:bCs/>
              </w:rPr>
              <w:t>96</w:t>
            </w:r>
          </w:p>
        </w:tc>
        <w:tc>
          <w:tcPr>
            <w:tcW w:w="1418" w:type="dxa"/>
            <w:tcBorders>
              <w:top w:val="single" w:sz="2" w:space="0" w:color="auto"/>
              <w:left w:val="nil"/>
              <w:bottom w:val="double" w:sz="4" w:space="0" w:color="auto"/>
              <w:right w:val="nil"/>
            </w:tcBorders>
            <w:shd w:val="clear" w:color="000000" w:fill="FFFFFF"/>
          </w:tcPr>
          <w:p w14:paraId="343120F7" w14:textId="77777777" w:rsidR="00101B5B" w:rsidRPr="007D038C" w:rsidRDefault="00101B5B" w:rsidP="00891C26">
            <w:pPr>
              <w:spacing w:line="276" w:lineRule="auto"/>
              <w:jc w:val="right"/>
              <w:rPr>
                <w:b/>
                <w:bCs/>
                <w:lang w:val="en-US"/>
              </w:rPr>
            </w:pPr>
            <w:r w:rsidRPr="00C101D7">
              <w:rPr>
                <w:b/>
                <w:bCs/>
                <w:lang w:val="en-US"/>
              </w:rPr>
              <w:t>179</w:t>
            </w:r>
          </w:p>
        </w:tc>
      </w:tr>
    </w:tbl>
    <w:p w14:paraId="0103E9F1" w14:textId="77777777" w:rsidR="000B272A" w:rsidRDefault="000B272A" w:rsidP="00891C26">
      <w:pPr>
        <w:spacing w:line="276" w:lineRule="auto"/>
        <w:ind w:firstLine="567"/>
        <w:jc w:val="both"/>
        <w:rPr>
          <w:rStyle w:val="FontStyle14"/>
          <w:sz w:val="24"/>
          <w:szCs w:val="24"/>
        </w:rPr>
      </w:pPr>
    </w:p>
    <w:p w14:paraId="0E326E89" w14:textId="77777777" w:rsidR="000C0D22" w:rsidRPr="00C67CA3" w:rsidRDefault="000C0D22" w:rsidP="00891C26">
      <w:pPr>
        <w:pStyle w:val="BodyText"/>
        <w:spacing w:line="276" w:lineRule="auto"/>
        <w:ind w:firstLine="851"/>
        <w:jc w:val="both"/>
        <w:rPr>
          <w:rStyle w:val="FontStyle14"/>
          <w:sz w:val="24"/>
          <w:szCs w:val="24"/>
        </w:rPr>
      </w:pPr>
      <w:r w:rsidRPr="00C67CA3">
        <w:rPr>
          <w:rStyle w:val="FontStyle14"/>
          <w:sz w:val="24"/>
          <w:szCs w:val="24"/>
        </w:rPr>
        <w:t>Членовете на Съвета на директорите не са получавали непарични възнаграждения през отчетната година и нямат разсрочени възнаграждения.</w:t>
      </w:r>
    </w:p>
    <w:p w14:paraId="3FC74926" w14:textId="77777777" w:rsidR="000C0D22" w:rsidRDefault="000C0D22" w:rsidP="00891C26">
      <w:pPr>
        <w:pStyle w:val="BodyText"/>
        <w:spacing w:line="276" w:lineRule="auto"/>
        <w:ind w:firstLine="851"/>
        <w:jc w:val="both"/>
        <w:rPr>
          <w:rStyle w:val="FontStyle14"/>
          <w:sz w:val="24"/>
          <w:szCs w:val="24"/>
        </w:rPr>
      </w:pPr>
      <w:r w:rsidRPr="00C67CA3">
        <w:rPr>
          <w:rStyle w:val="FontStyle14"/>
          <w:sz w:val="24"/>
          <w:szCs w:val="24"/>
        </w:rPr>
        <w:t xml:space="preserve">Възнагражденията </w:t>
      </w:r>
      <w:r w:rsidR="00D03C5E">
        <w:rPr>
          <w:rStyle w:val="FontStyle14"/>
          <w:sz w:val="24"/>
          <w:szCs w:val="24"/>
        </w:rPr>
        <w:t>до месец 12.201</w:t>
      </w:r>
      <w:r w:rsidR="00101B5B">
        <w:rPr>
          <w:rStyle w:val="FontStyle14"/>
          <w:sz w:val="24"/>
          <w:szCs w:val="24"/>
        </w:rPr>
        <w:t>9</w:t>
      </w:r>
      <w:r w:rsidR="004063E6" w:rsidRPr="00C67CA3">
        <w:rPr>
          <w:rStyle w:val="FontStyle14"/>
          <w:sz w:val="24"/>
          <w:szCs w:val="24"/>
        </w:rPr>
        <w:t xml:space="preserve"> г. </w:t>
      </w:r>
      <w:r w:rsidRPr="00C67CA3">
        <w:rPr>
          <w:rStyle w:val="FontStyle14"/>
          <w:sz w:val="24"/>
          <w:szCs w:val="24"/>
        </w:rPr>
        <w:t xml:space="preserve">са изцяло платени, като са внесени всички </w:t>
      </w:r>
      <w:r w:rsidRPr="00C67CA3">
        <w:rPr>
          <w:rStyle w:val="FontStyle14"/>
          <w:sz w:val="24"/>
          <w:szCs w:val="24"/>
        </w:rPr>
        <w:lastRenderedPageBreak/>
        <w:t>дължими данъци и осигуровки.</w:t>
      </w:r>
    </w:p>
    <w:p w14:paraId="5B4E11CE" w14:textId="77777777" w:rsidR="000B272A" w:rsidRPr="00C67CA3" w:rsidRDefault="004063E6" w:rsidP="00891C26">
      <w:pPr>
        <w:pStyle w:val="BodyText"/>
        <w:spacing w:after="0" w:line="276" w:lineRule="auto"/>
        <w:ind w:firstLine="851"/>
        <w:jc w:val="both"/>
        <w:rPr>
          <w:rStyle w:val="FontStyle14"/>
          <w:b/>
          <w:sz w:val="24"/>
          <w:szCs w:val="24"/>
        </w:rPr>
      </w:pPr>
      <w:r w:rsidRPr="00C67CA3">
        <w:rPr>
          <w:rStyle w:val="FontStyle14"/>
          <w:b/>
          <w:sz w:val="24"/>
          <w:szCs w:val="24"/>
        </w:rPr>
        <w:t>Разчети със свързани лица в края на годината</w:t>
      </w:r>
    </w:p>
    <w:tbl>
      <w:tblPr>
        <w:tblW w:w="8931" w:type="dxa"/>
        <w:tblInd w:w="108" w:type="dxa"/>
        <w:tblLayout w:type="fixed"/>
        <w:tblLook w:val="0000" w:firstRow="0" w:lastRow="0" w:firstColumn="0" w:lastColumn="0" w:noHBand="0" w:noVBand="0"/>
      </w:tblPr>
      <w:tblGrid>
        <w:gridCol w:w="5529"/>
        <w:gridCol w:w="567"/>
        <w:gridCol w:w="1417"/>
        <w:gridCol w:w="1418"/>
      </w:tblGrid>
      <w:tr w:rsidR="004063E6" w:rsidRPr="00C67CA3" w14:paraId="5387C23C" w14:textId="77777777" w:rsidTr="00AF189B">
        <w:trPr>
          <w:trHeight w:val="181"/>
        </w:trPr>
        <w:tc>
          <w:tcPr>
            <w:tcW w:w="5529" w:type="dxa"/>
            <w:shd w:val="clear" w:color="auto" w:fill="FFFFFF"/>
          </w:tcPr>
          <w:p w14:paraId="5D0DE9A5" w14:textId="77777777" w:rsidR="004063E6" w:rsidRPr="00C67CA3" w:rsidRDefault="004063E6" w:rsidP="00891C26">
            <w:pPr>
              <w:widowControl/>
              <w:spacing w:line="276" w:lineRule="auto"/>
              <w:rPr>
                <w:b/>
                <w:bCs/>
                <w:lang w:eastAsia="en-US"/>
              </w:rPr>
            </w:pPr>
          </w:p>
        </w:tc>
        <w:tc>
          <w:tcPr>
            <w:tcW w:w="567" w:type="dxa"/>
            <w:shd w:val="clear" w:color="auto" w:fill="FFFFFF"/>
          </w:tcPr>
          <w:p w14:paraId="79C948A9" w14:textId="77777777" w:rsidR="004063E6" w:rsidRPr="00C67CA3" w:rsidRDefault="004063E6" w:rsidP="00891C26">
            <w:pPr>
              <w:widowControl/>
              <w:spacing w:line="276" w:lineRule="auto"/>
              <w:jc w:val="right"/>
              <w:rPr>
                <w:b/>
                <w:bCs/>
                <w:lang w:eastAsia="en-US"/>
              </w:rPr>
            </w:pPr>
          </w:p>
        </w:tc>
        <w:tc>
          <w:tcPr>
            <w:tcW w:w="1417" w:type="dxa"/>
            <w:shd w:val="clear" w:color="auto" w:fill="FFFFFF"/>
          </w:tcPr>
          <w:p w14:paraId="39F586E9" w14:textId="77777777" w:rsidR="004063E6" w:rsidRPr="00C67CA3" w:rsidRDefault="00DA7BB2" w:rsidP="00891C26">
            <w:pPr>
              <w:widowControl/>
              <w:spacing w:line="276" w:lineRule="auto"/>
              <w:jc w:val="right"/>
              <w:rPr>
                <w:b/>
                <w:bCs/>
                <w:lang w:eastAsia="en-US"/>
              </w:rPr>
            </w:pPr>
            <w:r w:rsidRPr="00C67CA3">
              <w:rPr>
                <w:b/>
                <w:bCs/>
                <w:lang w:eastAsia="en-US"/>
              </w:rPr>
              <w:t>201</w:t>
            </w:r>
            <w:r w:rsidR="00101B5B">
              <w:rPr>
                <w:b/>
                <w:bCs/>
                <w:lang w:eastAsia="en-US"/>
              </w:rPr>
              <w:t>9</w:t>
            </w:r>
          </w:p>
        </w:tc>
        <w:tc>
          <w:tcPr>
            <w:tcW w:w="1418" w:type="dxa"/>
            <w:shd w:val="clear" w:color="auto" w:fill="FFFFFF"/>
          </w:tcPr>
          <w:p w14:paraId="1B457AE1" w14:textId="77777777" w:rsidR="004063E6" w:rsidRPr="00C67CA3" w:rsidRDefault="00DA7BB2" w:rsidP="00891C26">
            <w:pPr>
              <w:widowControl/>
              <w:spacing w:line="276" w:lineRule="auto"/>
              <w:jc w:val="right"/>
              <w:rPr>
                <w:b/>
                <w:bCs/>
                <w:lang w:eastAsia="en-US"/>
              </w:rPr>
            </w:pPr>
            <w:r w:rsidRPr="00C67CA3">
              <w:rPr>
                <w:b/>
                <w:bCs/>
                <w:lang w:eastAsia="en-US"/>
              </w:rPr>
              <w:t>201</w:t>
            </w:r>
            <w:r w:rsidR="00101B5B">
              <w:rPr>
                <w:b/>
                <w:bCs/>
                <w:lang w:eastAsia="en-US"/>
              </w:rPr>
              <w:t>8</w:t>
            </w:r>
          </w:p>
        </w:tc>
      </w:tr>
      <w:tr w:rsidR="004063E6" w:rsidRPr="00C67CA3" w14:paraId="662007A7" w14:textId="77777777" w:rsidTr="00AF189B">
        <w:trPr>
          <w:trHeight w:val="181"/>
        </w:trPr>
        <w:tc>
          <w:tcPr>
            <w:tcW w:w="5529" w:type="dxa"/>
            <w:shd w:val="clear" w:color="auto" w:fill="FFFFFF"/>
          </w:tcPr>
          <w:p w14:paraId="1A334FFD" w14:textId="77777777" w:rsidR="004063E6" w:rsidRPr="00C67CA3" w:rsidRDefault="004063E6" w:rsidP="00891C26">
            <w:pPr>
              <w:widowControl/>
              <w:spacing w:line="276" w:lineRule="auto"/>
              <w:rPr>
                <w:b/>
                <w:bCs/>
                <w:lang w:eastAsia="en-US"/>
              </w:rPr>
            </w:pPr>
          </w:p>
        </w:tc>
        <w:tc>
          <w:tcPr>
            <w:tcW w:w="567" w:type="dxa"/>
            <w:shd w:val="clear" w:color="auto" w:fill="FFFFFF"/>
          </w:tcPr>
          <w:p w14:paraId="3D906EBB" w14:textId="77777777" w:rsidR="004063E6" w:rsidRPr="00C67CA3" w:rsidRDefault="004063E6" w:rsidP="00891C26">
            <w:pPr>
              <w:widowControl/>
              <w:autoSpaceDE/>
              <w:autoSpaceDN/>
              <w:adjustRightInd/>
              <w:spacing w:line="276" w:lineRule="auto"/>
              <w:jc w:val="right"/>
              <w:rPr>
                <w:lang w:eastAsia="en-US"/>
              </w:rPr>
            </w:pPr>
          </w:p>
        </w:tc>
        <w:tc>
          <w:tcPr>
            <w:tcW w:w="1417" w:type="dxa"/>
            <w:shd w:val="clear" w:color="auto" w:fill="FFFFFF"/>
          </w:tcPr>
          <w:p w14:paraId="68F4E342" w14:textId="77777777" w:rsidR="004063E6" w:rsidRPr="00C67CA3" w:rsidRDefault="004063E6" w:rsidP="00891C26">
            <w:pPr>
              <w:widowControl/>
              <w:autoSpaceDE/>
              <w:autoSpaceDN/>
              <w:adjustRightInd/>
              <w:spacing w:line="276" w:lineRule="auto"/>
              <w:jc w:val="right"/>
              <w:rPr>
                <w:lang w:eastAsia="en-US"/>
              </w:rPr>
            </w:pPr>
            <w:r w:rsidRPr="00C67CA3">
              <w:rPr>
                <w:b/>
                <w:bCs/>
                <w:lang w:eastAsia="en-US"/>
              </w:rPr>
              <w:t>‘000 лв.</w:t>
            </w:r>
          </w:p>
        </w:tc>
        <w:tc>
          <w:tcPr>
            <w:tcW w:w="1418" w:type="dxa"/>
            <w:shd w:val="clear" w:color="auto" w:fill="FFFFFF"/>
          </w:tcPr>
          <w:p w14:paraId="15BF4753" w14:textId="77777777" w:rsidR="004063E6" w:rsidRPr="00C67CA3" w:rsidRDefault="004063E6" w:rsidP="00891C26">
            <w:pPr>
              <w:widowControl/>
              <w:autoSpaceDE/>
              <w:autoSpaceDN/>
              <w:adjustRightInd/>
              <w:spacing w:line="276" w:lineRule="auto"/>
              <w:jc w:val="right"/>
              <w:rPr>
                <w:lang w:eastAsia="en-US"/>
              </w:rPr>
            </w:pPr>
            <w:r w:rsidRPr="00C67CA3">
              <w:rPr>
                <w:b/>
                <w:bCs/>
                <w:lang w:eastAsia="en-US"/>
              </w:rPr>
              <w:t>‘000 лв.</w:t>
            </w:r>
          </w:p>
        </w:tc>
      </w:tr>
      <w:tr w:rsidR="004063E6" w:rsidRPr="00C67CA3" w14:paraId="5249D0B2" w14:textId="77777777" w:rsidTr="00AF189B">
        <w:trPr>
          <w:trHeight w:val="181"/>
        </w:trPr>
        <w:tc>
          <w:tcPr>
            <w:tcW w:w="5529" w:type="dxa"/>
            <w:shd w:val="clear" w:color="auto" w:fill="FFFFFF"/>
          </w:tcPr>
          <w:p w14:paraId="75D27CF6" w14:textId="77777777" w:rsidR="004063E6" w:rsidRPr="00C67CA3" w:rsidRDefault="004063E6" w:rsidP="00891C26">
            <w:pPr>
              <w:widowControl/>
              <w:spacing w:line="276" w:lineRule="auto"/>
              <w:rPr>
                <w:b/>
                <w:bCs/>
                <w:lang w:eastAsia="en-US"/>
              </w:rPr>
            </w:pPr>
          </w:p>
        </w:tc>
        <w:tc>
          <w:tcPr>
            <w:tcW w:w="567" w:type="dxa"/>
            <w:shd w:val="clear" w:color="auto" w:fill="FFFFFF"/>
            <w:vAlign w:val="bottom"/>
          </w:tcPr>
          <w:p w14:paraId="2710EDC4" w14:textId="77777777" w:rsidR="004063E6" w:rsidRPr="00C67CA3" w:rsidRDefault="004063E6" w:rsidP="00891C26">
            <w:pPr>
              <w:widowControl/>
              <w:spacing w:line="276" w:lineRule="auto"/>
              <w:jc w:val="right"/>
              <w:rPr>
                <w:lang w:eastAsia="en-US"/>
              </w:rPr>
            </w:pPr>
          </w:p>
        </w:tc>
        <w:tc>
          <w:tcPr>
            <w:tcW w:w="1417" w:type="dxa"/>
            <w:shd w:val="clear" w:color="auto" w:fill="FFFFFF"/>
            <w:vAlign w:val="bottom"/>
          </w:tcPr>
          <w:p w14:paraId="4F7E508B" w14:textId="77777777" w:rsidR="004063E6" w:rsidRPr="00C67CA3" w:rsidRDefault="004063E6" w:rsidP="00891C26">
            <w:pPr>
              <w:widowControl/>
              <w:spacing w:line="276" w:lineRule="auto"/>
              <w:jc w:val="right"/>
              <w:rPr>
                <w:lang w:eastAsia="en-US"/>
              </w:rPr>
            </w:pPr>
          </w:p>
        </w:tc>
        <w:tc>
          <w:tcPr>
            <w:tcW w:w="1418" w:type="dxa"/>
            <w:shd w:val="clear" w:color="auto" w:fill="FFFFFF"/>
            <w:vAlign w:val="bottom"/>
          </w:tcPr>
          <w:p w14:paraId="3BE4C441" w14:textId="77777777" w:rsidR="004063E6" w:rsidRPr="00C67CA3" w:rsidRDefault="004063E6" w:rsidP="00891C26">
            <w:pPr>
              <w:widowControl/>
              <w:spacing w:line="276" w:lineRule="auto"/>
              <w:jc w:val="right"/>
              <w:rPr>
                <w:lang w:eastAsia="en-US"/>
              </w:rPr>
            </w:pPr>
          </w:p>
        </w:tc>
      </w:tr>
      <w:tr w:rsidR="004063E6" w:rsidRPr="00C67CA3" w14:paraId="342B34BD" w14:textId="77777777" w:rsidTr="00AF189B">
        <w:trPr>
          <w:trHeight w:val="181"/>
        </w:trPr>
        <w:tc>
          <w:tcPr>
            <w:tcW w:w="5529" w:type="dxa"/>
            <w:shd w:val="clear" w:color="auto" w:fill="FFFFFF"/>
          </w:tcPr>
          <w:p w14:paraId="74D829C2" w14:textId="77777777" w:rsidR="004063E6" w:rsidRPr="00C67CA3" w:rsidRDefault="004063E6" w:rsidP="00891C26">
            <w:pPr>
              <w:widowControl/>
              <w:spacing w:line="276" w:lineRule="auto"/>
              <w:rPr>
                <w:b/>
                <w:bCs/>
                <w:lang w:eastAsia="en-US"/>
              </w:rPr>
            </w:pPr>
            <w:r w:rsidRPr="00C67CA3">
              <w:rPr>
                <w:b/>
                <w:bCs/>
                <w:lang w:eastAsia="en-US"/>
              </w:rPr>
              <w:t>Задължения към:</w:t>
            </w:r>
          </w:p>
        </w:tc>
        <w:tc>
          <w:tcPr>
            <w:tcW w:w="567" w:type="dxa"/>
            <w:shd w:val="clear" w:color="auto" w:fill="FFFFFF"/>
            <w:vAlign w:val="bottom"/>
          </w:tcPr>
          <w:p w14:paraId="23C6E34D" w14:textId="77777777" w:rsidR="004063E6" w:rsidRPr="00C67CA3" w:rsidRDefault="004063E6" w:rsidP="00891C26">
            <w:pPr>
              <w:widowControl/>
              <w:spacing w:line="276" w:lineRule="auto"/>
              <w:jc w:val="right"/>
              <w:rPr>
                <w:lang w:eastAsia="en-US"/>
              </w:rPr>
            </w:pPr>
          </w:p>
        </w:tc>
        <w:tc>
          <w:tcPr>
            <w:tcW w:w="1417" w:type="dxa"/>
            <w:shd w:val="clear" w:color="auto" w:fill="FFFFFF"/>
            <w:vAlign w:val="bottom"/>
          </w:tcPr>
          <w:p w14:paraId="200AC323" w14:textId="77777777" w:rsidR="004063E6" w:rsidRPr="00C67CA3" w:rsidRDefault="004063E6" w:rsidP="00891C26">
            <w:pPr>
              <w:widowControl/>
              <w:spacing w:line="276" w:lineRule="auto"/>
              <w:jc w:val="right"/>
              <w:rPr>
                <w:lang w:eastAsia="en-US"/>
              </w:rPr>
            </w:pPr>
          </w:p>
        </w:tc>
        <w:tc>
          <w:tcPr>
            <w:tcW w:w="1418" w:type="dxa"/>
            <w:shd w:val="clear" w:color="auto" w:fill="FFFFFF"/>
            <w:vAlign w:val="bottom"/>
          </w:tcPr>
          <w:p w14:paraId="57ECD81A" w14:textId="77777777" w:rsidR="004063E6" w:rsidRPr="00C67CA3" w:rsidRDefault="004063E6" w:rsidP="00891C26">
            <w:pPr>
              <w:widowControl/>
              <w:spacing w:line="276" w:lineRule="auto"/>
              <w:jc w:val="right"/>
              <w:rPr>
                <w:lang w:eastAsia="en-US"/>
              </w:rPr>
            </w:pPr>
          </w:p>
        </w:tc>
      </w:tr>
      <w:tr w:rsidR="004063E6" w:rsidRPr="00C67CA3" w14:paraId="534746A8" w14:textId="77777777" w:rsidTr="00AF189B">
        <w:trPr>
          <w:trHeight w:val="181"/>
        </w:trPr>
        <w:tc>
          <w:tcPr>
            <w:tcW w:w="5529" w:type="dxa"/>
            <w:shd w:val="clear" w:color="auto" w:fill="FFFFFF"/>
          </w:tcPr>
          <w:p w14:paraId="78930196" w14:textId="77777777" w:rsidR="004063E6" w:rsidRPr="00C67CA3" w:rsidRDefault="004063E6" w:rsidP="00891C26">
            <w:pPr>
              <w:widowControl/>
              <w:spacing w:line="276" w:lineRule="auto"/>
              <w:rPr>
                <w:lang w:eastAsia="en-US"/>
              </w:rPr>
            </w:pPr>
            <w:r w:rsidRPr="00C67CA3">
              <w:rPr>
                <w:lang w:eastAsia="en-US"/>
              </w:rPr>
              <w:t xml:space="preserve"> - ключов управленски персонал</w:t>
            </w:r>
          </w:p>
        </w:tc>
        <w:tc>
          <w:tcPr>
            <w:tcW w:w="567" w:type="dxa"/>
            <w:shd w:val="clear" w:color="auto" w:fill="FFFFFF"/>
            <w:vAlign w:val="bottom"/>
          </w:tcPr>
          <w:p w14:paraId="3AB0C9E9" w14:textId="77777777" w:rsidR="004063E6" w:rsidRPr="00C67CA3" w:rsidRDefault="004063E6" w:rsidP="00891C26">
            <w:pPr>
              <w:widowControl/>
              <w:autoSpaceDE/>
              <w:autoSpaceDN/>
              <w:adjustRightInd/>
              <w:spacing w:line="276" w:lineRule="auto"/>
              <w:jc w:val="right"/>
            </w:pPr>
          </w:p>
        </w:tc>
        <w:tc>
          <w:tcPr>
            <w:tcW w:w="1417" w:type="dxa"/>
            <w:tcBorders>
              <w:bottom w:val="single" w:sz="4" w:space="0" w:color="auto"/>
            </w:tcBorders>
            <w:shd w:val="clear" w:color="auto" w:fill="FFFFFF"/>
            <w:vAlign w:val="bottom"/>
          </w:tcPr>
          <w:p w14:paraId="2B3EB135" w14:textId="77777777" w:rsidR="004063E6" w:rsidRPr="00C101D7" w:rsidRDefault="001F4E98" w:rsidP="00891C26">
            <w:pPr>
              <w:widowControl/>
              <w:autoSpaceDE/>
              <w:autoSpaceDN/>
              <w:adjustRightInd/>
              <w:spacing w:line="276" w:lineRule="auto"/>
              <w:jc w:val="right"/>
              <w:rPr>
                <w:lang w:val="en-US"/>
              </w:rPr>
            </w:pPr>
            <w:r>
              <w:rPr>
                <w:lang w:val="en-US"/>
              </w:rPr>
              <w:t>1</w:t>
            </w:r>
            <w:r w:rsidR="00101B5B">
              <w:t>3</w:t>
            </w:r>
          </w:p>
        </w:tc>
        <w:tc>
          <w:tcPr>
            <w:tcW w:w="1418" w:type="dxa"/>
            <w:tcBorders>
              <w:bottom w:val="single" w:sz="4" w:space="0" w:color="auto"/>
            </w:tcBorders>
            <w:shd w:val="clear" w:color="auto" w:fill="FFFFFF"/>
            <w:vAlign w:val="bottom"/>
          </w:tcPr>
          <w:p w14:paraId="1F21159F" w14:textId="77777777" w:rsidR="004063E6" w:rsidRPr="00C67CA3" w:rsidRDefault="0094128B" w:rsidP="00891C26">
            <w:pPr>
              <w:widowControl/>
              <w:autoSpaceDE/>
              <w:autoSpaceDN/>
              <w:adjustRightInd/>
              <w:spacing w:line="276" w:lineRule="auto"/>
              <w:jc w:val="right"/>
            </w:pPr>
            <w:r>
              <w:t>10</w:t>
            </w:r>
          </w:p>
        </w:tc>
      </w:tr>
      <w:tr w:rsidR="004063E6" w:rsidRPr="00C67CA3" w14:paraId="4EB38762" w14:textId="77777777" w:rsidTr="00AF189B">
        <w:trPr>
          <w:trHeight w:val="181"/>
        </w:trPr>
        <w:tc>
          <w:tcPr>
            <w:tcW w:w="5529" w:type="dxa"/>
            <w:shd w:val="clear" w:color="auto" w:fill="FFFFFF"/>
          </w:tcPr>
          <w:p w14:paraId="706E8953" w14:textId="77777777" w:rsidR="004063E6" w:rsidRPr="00C67CA3" w:rsidRDefault="004063E6" w:rsidP="00891C26">
            <w:pPr>
              <w:widowControl/>
              <w:spacing w:line="276" w:lineRule="auto"/>
              <w:rPr>
                <w:b/>
                <w:lang w:eastAsia="en-US"/>
              </w:rPr>
            </w:pPr>
            <w:r w:rsidRPr="00C67CA3">
              <w:rPr>
                <w:b/>
                <w:lang w:eastAsia="en-US"/>
              </w:rPr>
              <w:t>Общо текущи задължения към ключов управленски персонал</w:t>
            </w:r>
          </w:p>
        </w:tc>
        <w:tc>
          <w:tcPr>
            <w:tcW w:w="567" w:type="dxa"/>
            <w:shd w:val="clear" w:color="auto" w:fill="FFFFFF"/>
            <w:vAlign w:val="bottom"/>
          </w:tcPr>
          <w:p w14:paraId="5B971D60" w14:textId="77777777" w:rsidR="004063E6" w:rsidRPr="00C67CA3" w:rsidRDefault="004063E6" w:rsidP="00891C26">
            <w:pPr>
              <w:widowControl/>
              <w:autoSpaceDE/>
              <w:autoSpaceDN/>
              <w:adjustRightInd/>
              <w:spacing w:line="276" w:lineRule="auto"/>
              <w:jc w:val="right"/>
              <w:rPr>
                <w:b/>
              </w:rPr>
            </w:pPr>
          </w:p>
        </w:tc>
        <w:tc>
          <w:tcPr>
            <w:tcW w:w="1417" w:type="dxa"/>
            <w:tcBorders>
              <w:top w:val="single" w:sz="4" w:space="0" w:color="auto"/>
              <w:bottom w:val="single" w:sz="4" w:space="0" w:color="auto"/>
            </w:tcBorders>
            <w:shd w:val="clear" w:color="auto" w:fill="FFFFFF"/>
            <w:vAlign w:val="bottom"/>
          </w:tcPr>
          <w:p w14:paraId="4F4EDF30" w14:textId="77777777" w:rsidR="004063E6" w:rsidRPr="00C101D7" w:rsidRDefault="001F4E98" w:rsidP="00891C26">
            <w:pPr>
              <w:widowControl/>
              <w:autoSpaceDE/>
              <w:autoSpaceDN/>
              <w:adjustRightInd/>
              <w:spacing w:line="276" w:lineRule="auto"/>
              <w:jc w:val="right"/>
              <w:rPr>
                <w:b/>
                <w:lang w:val="en-US"/>
              </w:rPr>
            </w:pPr>
            <w:r>
              <w:rPr>
                <w:b/>
                <w:lang w:val="en-US"/>
              </w:rPr>
              <w:t>1</w:t>
            </w:r>
            <w:r w:rsidR="00101B5B">
              <w:rPr>
                <w:b/>
              </w:rPr>
              <w:t>3</w:t>
            </w:r>
          </w:p>
        </w:tc>
        <w:tc>
          <w:tcPr>
            <w:tcW w:w="1418" w:type="dxa"/>
            <w:tcBorders>
              <w:top w:val="single" w:sz="4" w:space="0" w:color="auto"/>
              <w:bottom w:val="single" w:sz="4" w:space="0" w:color="auto"/>
            </w:tcBorders>
            <w:shd w:val="clear" w:color="auto" w:fill="FFFFFF"/>
            <w:vAlign w:val="bottom"/>
          </w:tcPr>
          <w:p w14:paraId="1FD5232F" w14:textId="77777777" w:rsidR="004063E6" w:rsidRPr="00C67CA3" w:rsidRDefault="0094128B" w:rsidP="00891C26">
            <w:pPr>
              <w:widowControl/>
              <w:autoSpaceDE/>
              <w:autoSpaceDN/>
              <w:adjustRightInd/>
              <w:spacing w:line="276" w:lineRule="auto"/>
              <w:jc w:val="right"/>
              <w:rPr>
                <w:b/>
              </w:rPr>
            </w:pPr>
            <w:r>
              <w:rPr>
                <w:b/>
              </w:rPr>
              <w:t>10</w:t>
            </w:r>
          </w:p>
        </w:tc>
      </w:tr>
      <w:tr w:rsidR="004063E6" w:rsidRPr="00C67CA3" w14:paraId="05BB8847" w14:textId="77777777" w:rsidTr="006A7C16">
        <w:trPr>
          <w:trHeight w:val="181"/>
        </w:trPr>
        <w:tc>
          <w:tcPr>
            <w:tcW w:w="5529" w:type="dxa"/>
            <w:shd w:val="clear" w:color="auto" w:fill="FFFFFF"/>
          </w:tcPr>
          <w:p w14:paraId="585D951D" w14:textId="77777777" w:rsidR="004063E6" w:rsidRPr="00C67CA3" w:rsidRDefault="004063E6" w:rsidP="00891C26">
            <w:pPr>
              <w:widowControl/>
              <w:spacing w:line="276" w:lineRule="auto"/>
              <w:rPr>
                <w:lang w:eastAsia="en-US"/>
              </w:rPr>
            </w:pPr>
            <w:r w:rsidRPr="00C67CA3">
              <w:rPr>
                <w:b/>
                <w:bCs/>
                <w:lang w:eastAsia="en-US"/>
              </w:rPr>
              <w:t>Общо задължения към ключов управленски персонал</w:t>
            </w:r>
          </w:p>
        </w:tc>
        <w:tc>
          <w:tcPr>
            <w:tcW w:w="567" w:type="dxa"/>
            <w:shd w:val="clear" w:color="auto" w:fill="FFFFFF"/>
            <w:vAlign w:val="bottom"/>
          </w:tcPr>
          <w:p w14:paraId="192E6390" w14:textId="77777777" w:rsidR="004063E6" w:rsidRPr="00C67CA3" w:rsidRDefault="004063E6" w:rsidP="00891C26">
            <w:pPr>
              <w:widowControl/>
              <w:autoSpaceDE/>
              <w:autoSpaceDN/>
              <w:adjustRightInd/>
              <w:spacing w:line="276" w:lineRule="auto"/>
              <w:jc w:val="right"/>
              <w:rPr>
                <w:b/>
              </w:rPr>
            </w:pPr>
          </w:p>
        </w:tc>
        <w:tc>
          <w:tcPr>
            <w:tcW w:w="1417" w:type="dxa"/>
            <w:tcBorders>
              <w:top w:val="single" w:sz="4" w:space="0" w:color="auto"/>
              <w:bottom w:val="single" w:sz="4" w:space="0" w:color="auto"/>
            </w:tcBorders>
            <w:shd w:val="clear" w:color="auto" w:fill="FFFFFF"/>
            <w:vAlign w:val="bottom"/>
          </w:tcPr>
          <w:p w14:paraId="23AE3F9D" w14:textId="77777777" w:rsidR="004063E6" w:rsidRPr="00101B5B" w:rsidRDefault="001F4E98" w:rsidP="00891C26">
            <w:pPr>
              <w:widowControl/>
              <w:autoSpaceDE/>
              <w:autoSpaceDN/>
              <w:adjustRightInd/>
              <w:spacing w:line="276" w:lineRule="auto"/>
              <w:jc w:val="right"/>
              <w:rPr>
                <w:b/>
              </w:rPr>
            </w:pPr>
            <w:r>
              <w:rPr>
                <w:b/>
                <w:lang w:val="en-US"/>
              </w:rPr>
              <w:t>1</w:t>
            </w:r>
            <w:r w:rsidR="00101B5B">
              <w:rPr>
                <w:b/>
              </w:rPr>
              <w:t>3</w:t>
            </w:r>
          </w:p>
        </w:tc>
        <w:tc>
          <w:tcPr>
            <w:tcW w:w="1418" w:type="dxa"/>
            <w:tcBorders>
              <w:top w:val="single" w:sz="4" w:space="0" w:color="auto"/>
              <w:bottom w:val="single" w:sz="4" w:space="0" w:color="auto"/>
            </w:tcBorders>
            <w:shd w:val="clear" w:color="auto" w:fill="FFFFFF"/>
            <w:vAlign w:val="bottom"/>
          </w:tcPr>
          <w:p w14:paraId="6ECB3BA1" w14:textId="77777777" w:rsidR="004063E6" w:rsidRPr="00C67CA3" w:rsidRDefault="0094128B" w:rsidP="00891C26">
            <w:pPr>
              <w:widowControl/>
              <w:autoSpaceDE/>
              <w:autoSpaceDN/>
              <w:adjustRightInd/>
              <w:spacing w:line="276" w:lineRule="auto"/>
              <w:jc w:val="right"/>
              <w:rPr>
                <w:b/>
              </w:rPr>
            </w:pPr>
            <w:r>
              <w:rPr>
                <w:b/>
              </w:rPr>
              <w:t>10</w:t>
            </w:r>
          </w:p>
        </w:tc>
      </w:tr>
    </w:tbl>
    <w:p w14:paraId="0B2741BD" w14:textId="77777777" w:rsidR="006A7C16" w:rsidRDefault="006A7C16"/>
    <w:p w14:paraId="6F794DFB" w14:textId="77777777" w:rsidR="003C40F6" w:rsidRPr="00C67CA3" w:rsidRDefault="003C40F6" w:rsidP="00891C26">
      <w:pPr>
        <w:pStyle w:val="ListParagraph"/>
        <w:widowControl/>
        <w:numPr>
          <w:ilvl w:val="0"/>
          <w:numId w:val="35"/>
        </w:numPr>
        <w:tabs>
          <w:tab w:val="left" w:pos="993"/>
        </w:tabs>
        <w:autoSpaceDE/>
        <w:autoSpaceDN/>
        <w:adjustRightInd/>
        <w:spacing w:after="240" w:line="276" w:lineRule="auto"/>
        <w:ind w:left="993" w:hanging="426"/>
        <w:jc w:val="both"/>
        <w:rPr>
          <w:b/>
        </w:rPr>
      </w:pPr>
      <w:r w:rsidRPr="00C67CA3">
        <w:rPr>
          <w:b/>
        </w:rPr>
        <w:t>Информация за известните на дружеството 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акции или облигации от настоящи акционери или облигационери</w:t>
      </w:r>
      <w:r w:rsidR="00815C1F" w:rsidRPr="00C67CA3">
        <w:rPr>
          <w:b/>
        </w:rPr>
        <w:t>;</w:t>
      </w:r>
    </w:p>
    <w:p w14:paraId="1BB18BAC" w14:textId="77777777" w:rsidR="003C40F6" w:rsidRDefault="003C40F6" w:rsidP="00891C26">
      <w:pPr>
        <w:pStyle w:val="BodyText"/>
        <w:spacing w:line="276" w:lineRule="auto"/>
        <w:ind w:firstLine="567"/>
        <w:jc w:val="both"/>
        <w:rPr>
          <w:rStyle w:val="FontStyle14"/>
          <w:sz w:val="24"/>
          <w:szCs w:val="24"/>
        </w:rPr>
      </w:pPr>
      <w:r w:rsidRPr="00C67CA3">
        <w:t xml:space="preserve">Не </w:t>
      </w:r>
      <w:r w:rsidRPr="00C67CA3">
        <w:rPr>
          <w:rStyle w:val="FontStyle14"/>
          <w:sz w:val="24"/>
          <w:szCs w:val="24"/>
        </w:rPr>
        <w:t>за</w:t>
      </w:r>
      <w:r w:rsidRPr="00C67CA3">
        <w:t xml:space="preserve"> </w:t>
      </w:r>
      <w:r w:rsidRPr="00C67CA3">
        <w:rPr>
          <w:rStyle w:val="FontStyle14"/>
          <w:sz w:val="24"/>
          <w:szCs w:val="24"/>
        </w:rPr>
        <w:t>известни</w:t>
      </w:r>
      <w:r w:rsidR="00815C1F" w:rsidRPr="00C67CA3">
        <w:rPr>
          <w:rStyle w:val="FontStyle14"/>
          <w:sz w:val="24"/>
          <w:szCs w:val="24"/>
        </w:rPr>
        <w:t>.</w:t>
      </w:r>
    </w:p>
    <w:p w14:paraId="39D2913D" w14:textId="77777777" w:rsidR="00F36505" w:rsidRPr="00C67CA3" w:rsidRDefault="00F36505" w:rsidP="00891C26">
      <w:pPr>
        <w:pStyle w:val="BodyText"/>
        <w:spacing w:after="0" w:line="276" w:lineRule="auto"/>
        <w:ind w:firstLine="567"/>
        <w:jc w:val="both"/>
        <w:rPr>
          <w:rStyle w:val="FontStyle14"/>
          <w:sz w:val="24"/>
          <w:szCs w:val="24"/>
        </w:rPr>
      </w:pPr>
    </w:p>
    <w:p w14:paraId="5E1AB689" w14:textId="77777777" w:rsidR="00835A5A" w:rsidRPr="00C67CA3" w:rsidRDefault="007E7782" w:rsidP="00891C26">
      <w:pPr>
        <w:pStyle w:val="ListParagraph"/>
        <w:widowControl/>
        <w:numPr>
          <w:ilvl w:val="0"/>
          <w:numId w:val="35"/>
        </w:numPr>
        <w:tabs>
          <w:tab w:val="left" w:pos="993"/>
        </w:tabs>
        <w:autoSpaceDE/>
        <w:autoSpaceDN/>
        <w:adjustRightInd/>
        <w:spacing w:after="240" w:line="276" w:lineRule="auto"/>
        <w:ind w:left="993" w:hanging="426"/>
        <w:jc w:val="both"/>
        <w:rPr>
          <w:b/>
        </w:rPr>
      </w:pPr>
      <w:r w:rsidRPr="00C67CA3">
        <w:rPr>
          <w:b/>
        </w:rPr>
        <w:t>Информация за висящи съдебни, административни или арбитражни производства, касаещи задължения или вземания на Дружеството, в размер най-малко 10 на сто от собствения му капитал; ако общата стойност на задълженията или вземанията на Дружеството, по всички образувани производства надхвърля 10 на сто от собствения му капитал, се представя информация за всяко производство поотделно;</w:t>
      </w:r>
    </w:p>
    <w:p w14:paraId="41D99CC2" w14:textId="77777777" w:rsidR="00835A5A" w:rsidRPr="00C67CA3" w:rsidRDefault="007E7782" w:rsidP="00891C26">
      <w:pPr>
        <w:pStyle w:val="BodyText"/>
        <w:spacing w:line="276" w:lineRule="auto"/>
        <w:ind w:firstLine="851"/>
        <w:jc w:val="both"/>
        <w:rPr>
          <w:rStyle w:val="FontStyle14"/>
          <w:sz w:val="24"/>
          <w:szCs w:val="24"/>
        </w:rPr>
      </w:pPr>
      <w:r w:rsidRPr="00C67CA3">
        <w:rPr>
          <w:rStyle w:val="FontStyle14"/>
          <w:sz w:val="24"/>
          <w:szCs w:val="24"/>
        </w:rPr>
        <w:t xml:space="preserve">Дружеството </w:t>
      </w:r>
      <w:r w:rsidR="008F1D3D" w:rsidRPr="00C67CA3">
        <w:rPr>
          <w:rStyle w:val="FontStyle14"/>
          <w:sz w:val="24"/>
          <w:szCs w:val="24"/>
        </w:rPr>
        <w:t xml:space="preserve">има </w:t>
      </w:r>
      <w:r w:rsidRPr="00C67CA3">
        <w:rPr>
          <w:rStyle w:val="FontStyle14"/>
          <w:sz w:val="24"/>
          <w:szCs w:val="24"/>
        </w:rPr>
        <w:t xml:space="preserve">висящи съдебни, административни или арбитражни производства касаещи задължения </w:t>
      </w:r>
      <w:r w:rsidR="001170B4" w:rsidRPr="00C67CA3">
        <w:rPr>
          <w:rStyle w:val="FontStyle14"/>
          <w:sz w:val="24"/>
          <w:szCs w:val="24"/>
        </w:rPr>
        <w:t xml:space="preserve">и </w:t>
      </w:r>
      <w:r w:rsidRPr="00C67CA3">
        <w:rPr>
          <w:rStyle w:val="FontStyle14"/>
          <w:sz w:val="24"/>
          <w:szCs w:val="24"/>
        </w:rPr>
        <w:t>вземания в размер</w:t>
      </w:r>
      <w:r w:rsidR="00817EE6">
        <w:rPr>
          <w:rStyle w:val="FontStyle14"/>
          <w:sz w:val="24"/>
          <w:szCs w:val="24"/>
        </w:rPr>
        <w:t>,</w:t>
      </w:r>
      <w:r w:rsidRPr="00C67CA3">
        <w:rPr>
          <w:rStyle w:val="FontStyle14"/>
          <w:sz w:val="24"/>
          <w:szCs w:val="24"/>
        </w:rPr>
        <w:t xml:space="preserve"> </w:t>
      </w:r>
      <w:r w:rsidR="001170B4" w:rsidRPr="00C67CA3">
        <w:rPr>
          <w:rStyle w:val="FontStyle14"/>
          <w:sz w:val="24"/>
          <w:szCs w:val="24"/>
        </w:rPr>
        <w:t>надхвърлящ</w:t>
      </w:r>
      <w:r w:rsidRPr="00C67CA3">
        <w:rPr>
          <w:rStyle w:val="FontStyle14"/>
          <w:sz w:val="24"/>
          <w:szCs w:val="24"/>
        </w:rPr>
        <w:t xml:space="preserve"> 10 на сто от собствения му капитал, както и общата стойност на задълженията или вземанията на Дружеството</w:t>
      </w:r>
      <w:r w:rsidR="00815C1F" w:rsidRPr="00C67CA3">
        <w:rPr>
          <w:rStyle w:val="FontStyle14"/>
          <w:sz w:val="24"/>
          <w:szCs w:val="24"/>
        </w:rPr>
        <w:t>.</w:t>
      </w:r>
    </w:p>
    <w:p w14:paraId="545F8309" w14:textId="77777777" w:rsidR="001170B4" w:rsidRPr="00C67CA3" w:rsidRDefault="001170B4" w:rsidP="00891C26">
      <w:pPr>
        <w:pStyle w:val="BodyText"/>
        <w:spacing w:line="276" w:lineRule="auto"/>
        <w:ind w:firstLine="851"/>
        <w:jc w:val="both"/>
        <w:rPr>
          <w:rStyle w:val="FontStyle14"/>
          <w:sz w:val="24"/>
          <w:szCs w:val="24"/>
          <w:lang w:val="en-US"/>
        </w:rPr>
      </w:pPr>
      <w:r w:rsidRPr="00C67CA3">
        <w:rPr>
          <w:rStyle w:val="FontStyle14"/>
          <w:sz w:val="24"/>
          <w:szCs w:val="24"/>
        </w:rPr>
        <w:t>Брутната стойност на вземанията от образуваните съд</w:t>
      </w:r>
      <w:r w:rsidR="00386DB7">
        <w:rPr>
          <w:rStyle w:val="FontStyle14"/>
          <w:sz w:val="24"/>
          <w:szCs w:val="24"/>
        </w:rPr>
        <w:t>ебни производства към 31.12.201</w:t>
      </w:r>
      <w:r w:rsidR="00101B5B">
        <w:rPr>
          <w:rStyle w:val="FontStyle14"/>
          <w:sz w:val="24"/>
          <w:szCs w:val="24"/>
        </w:rPr>
        <w:t>9</w:t>
      </w:r>
      <w:r w:rsidRPr="00C67CA3">
        <w:rPr>
          <w:rStyle w:val="FontStyle14"/>
          <w:sz w:val="24"/>
          <w:szCs w:val="24"/>
        </w:rPr>
        <w:t xml:space="preserve"> г. </w:t>
      </w:r>
      <w:r w:rsidR="003529D0" w:rsidRPr="00C67CA3">
        <w:rPr>
          <w:rStyle w:val="FontStyle14"/>
          <w:sz w:val="24"/>
          <w:szCs w:val="24"/>
        </w:rPr>
        <w:t>са в размер на</w:t>
      </w:r>
      <w:r w:rsidRPr="00C67CA3">
        <w:rPr>
          <w:rStyle w:val="FontStyle14"/>
          <w:sz w:val="24"/>
          <w:szCs w:val="24"/>
        </w:rPr>
        <w:t xml:space="preserve"> </w:t>
      </w:r>
      <w:r w:rsidR="00101B5B">
        <w:rPr>
          <w:rStyle w:val="FontStyle14"/>
          <w:sz w:val="24"/>
          <w:szCs w:val="24"/>
        </w:rPr>
        <w:t>4</w:t>
      </w:r>
      <w:r w:rsidR="00F92233">
        <w:rPr>
          <w:rStyle w:val="FontStyle14"/>
          <w:sz w:val="24"/>
          <w:szCs w:val="24"/>
        </w:rPr>
        <w:t xml:space="preserve"> </w:t>
      </w:r>
      <w:r w:rsidR="00101B5B">
        <w:rPr>
          <w:rStyle w:val="FontStyle14"/>
          <w:sz w:val="24"/>
          <w:szCs w:val="24"/>
        </w:rPr>
        <w:t>952</w:t>
      </w:r>
      <w:r w:rsidRPr="00C67CA3">
        <w:rPr>
          <w:rStyle w:val="FontStyle14"/>
          <w:sz w:val="24"/>
          <w:szCs w:val="24"/>
        </w:rPr>
        <w:t xml:space="preserve"> хил. лв.</w:t>
      </w:r>
      <w:r w:rsidR="00A76BEF" w:rsidRPr="00C67CA3">
        <w:rPr>
          <w:rStyle w:val="FontStyle14"/>
          <w:sz w:val="24"/>
          <w:szCs w:val="24"/>
        </w:rPr>
        <w:t>, свързани със събиране на просрочени вземания за доставка на ВиК услуги.</w:t>
      </w:r>
    </w:p>
    <w:p w14:paraId="6F32D1D3" w14:textId="7C0582A6" w:rsidR="003529D0" w:rsidRDefault="003529D0" w:rsidP="00891C26">
      <w:pPr>
        <w:pStyle w:val="BodyText"/>
        <w:spacing w:line="276" w:lineRule="auto"/>
        <w:ind w:firstLine="851"/>
        <w:jc w:val="both"/>
        <w:rPr>
          <w:rStyle w:val="FontStyle14"/>
          <w:sz w:val="24"/>
          <w:szCs w:val="24"/>
        </w:rPr>
      </w:pPr>
      <w:r w:rsidRPr="00C67CA3">
        <w:rPr>
          <w:rStyle w:val="FontStyle14"/>
          <w:sz w:val="24"/>
          <w:szCs w:val="24"/>
        </w:rPr>
        <w:t>Най-съществените задължения по образуваните съдебни производства към 31.12.201</w:t>
      </w:r>
      <w:r w:rsidR="00101B5B">
        <w:rPr>
          <w:rStyle w:val="FontStyle14"/>
          <w:sz w:val="24"/>
          <w:szCs w:val="24"/>
        </w:rPr>
        <w:t>9</w:t>
      </w:r>
      <w:r w:rsidRPr="00C67CA3">
        <w:rPr>
          <w:rStyle w:val="FontStyle14"/>
          <w:sz w:val="24"/>
          <w:szCs w:val="24"/>
        </w:rPr>
        <w:t xml:space="preserve"> г. са в размер на </w:t>
      </w:r>
      <w:r w:rsidR="00101B5B">
        <w:rPr>
          <w:rStyle w:val="FontStyle14"/>
          <w:sz w:val="24"/>
          <w:szCs w:val="24"/>
        </w:rPr>
        <w:t>4</w:t>
      </w:r>
      <w:r w:rsidR="009A6F6F">
        <w:rPr>
          <w:rStyle w:val="FontStyle14"/>
          <w:sz w:val="24"/>
          <w:szCs w:val="24"/>
        </w:rPr>
        <w:t xml:space="preserve"> </w:t>
      </w:r>
      <w:r w:rsidR="00101B5B">
        <w:rPr>
          <w:rStyle w:val="FontStyle14"/>
          <w:sz w:val="24"/>
          <w:szCs w:val="24"/>
        </w:rPr>
        <w:t>494</w:t>
      </w:r>
      <w:r w:rsidRPr="00C67CA3">
        <w:rPr>
          <w:rStyle w:val="FontStyle14"/>
          <w:sz w:val="24"/>
          <w:szCs w:val="24"/>
        </w:rPr>
        <w:t xml:space="preserve"> хил. лв.</w:t>
      </w:r>
      <w:r w:rsidR="001559EF" w:rsidRPr="00C67CA3">
        <w:t xml:space="preserve"> по съдебни производства със „Слънчев бряг” АД. </w:t>
      </w:r>
      <w:r w:rsidR="001559EF" w:rsidRPr="00C67CA3">
        <w:rPr>
          <w:rStyle w:val="FontStyle14"/>
          <w:sz w:val="24"/>
          <w:szCs w:val="24"/>
        </w:rPr>
        <w:t>Дружеството използва в дейността си недвижими имоти и съоръжения, заедно с охранителните зони към тях, които не са включени в отчета за финансовото състояние към 31 декември 201</w:t>
      </w:r>
      <w:r w:rsidR="00101B5B">
        <w:rPr>
          <w:rStyle w:val="FontStyle14"/>
          <w:sz w:val="24"/>
          <w:szCs w:val="24"/>
        </w:rPr>
        <w:t>9</w:t>
      </w:r>
      <w:r w:rsidR="001559EF" w:rsidRPr="00C67CA3">
        <w:rPr>
          <w:rStyle w:val="FontStyle14"/>
          <w:sz w:val="24"/>
          <w:szCs w:val="24"/>
        </w:rPr>
        <w:t xml:space="preserve"> г. и Дружеството не притежава документи за собственост на тези активи. Ръководството на Дружеството е направило преценка, че е възможно Дружеството да изплати съществени обезщетения или да предаде владението на тези активи на съответните лица.</w:t>
      </w:r>
    </w:p>
    <w:p w14:paraId="0BA87887" w14:textId="77777777" w:rsidR="00F36505" w:rsidRDefault="00F36505" w:rsidP="00891C26">
      <w:pPr>
        <w:pStyle w:val="BodyText"/>
        <w:spacing w:after="0" w:line="276" w:lineRule="auto"/>
        <w:jc w:val="both"/>
        <w:rPr>
          <w:rStyle w:val="FontStyle14"/>
          <w:sz w:val="24"/>
          <w:szCs w:val="24"/>
        </w:rPr>
      </w:pPr>
    </w:p>
    <w:p w14:paraId="68DC32E7" w14:textId="77777777" w:rsidR="001B0A54" w:rsidRPr="00C67CA3" w:rsidRDefault="007E7782" w:rsidP="00891C26">
      <w:pPr>
        <w:pStyle w:val="ListParagraph"/>
        <w:widowControl/>
        <w:numPr>
          <w:ilvl w:val="0"/>
          <w:numId w:val="35"/>
        </w:numPr>
        <w:tabs>
          <w:tab w:val="left" w:pos="993"/>
        </w:tabs>
        <w:autoSpaceDE/>
        <w:autoSpaceDN/>
        <w:adjustRightInd/>
        <w:spacing w:after="240" w:line="276" w:lineRule="auto"/>
        <w:ind w:left="993" w:hanging="426"/>
        <w:jc w:val="both"/>
        <w:rPr>
          <w:b/>
        </w:rPr>
      </w:pPr>
      <w:r w:rsidRPr="00C67CA3">
        <w:rPr>
          <w:b/>
        </w:rPr>
        <w:lastRenderedPageBreak/>
        <w:t>За публичните дружества – данни за директора за връзки с инвеститора, включително телефон и адрес за кореспонденция</w:t>
      </w:r>
      <w:r w:rsidR="00815C1F" w:rsidRPr="00C67CA3">
        <w:rPr>
          <w:b/>
        </w:rPr>
        <w:t>;</w:t>
      </w:r>
    </w:p>
    <w:p w14:paraId="6299A474" w14:textId="77777777" w:rsidR="00B91CBE" w:rsidRPr="00C67CA3" w:rsidRDefault="007E7782" w:rsidP="00891C26">
      <w:pPr>
        <w:pStyle w:val="BodyText"/>
        <w:spacing w:line="276" w:lineRule="auto"/>
        <w:ind w:firstLine="851"/>
        <w:jc w:val="both"/>
        <w:rPr>
          <w:b/>
        </w:rPr>
      </w:pPr>
      <w:r w:rsidRPr="00C67CA3">
        <w:t xml:space="preserve">Не е </w:t>
      </w:r>
      <w:r w:rsidRPr="00C67CA3">
        <w:rPr>
          <w:rStyle w:val="FontStyle14"/>
          <w:sz w:val="24"/>
          <w:szCs w:val="24"/>
        </w:rPr>
        <w:t>приложимо</w:t>
      </w:r>
      <w:r w:rsidR="00B91CBE" w:rsidRPr="00C67CA3">
        <w:rPr>
          <w:b/>
        </w:rPr>
        <w:t>.</w:t>
      </w:r>
    </w:p>
    <w:p w14:paraId="27B4B55E" w14:textId="77777777" w:rsidR="00AF189B" w:rsidRDefault="00AF189B" w:rsidP="00891C26">
      <w:pPr>
        <w:spacing w:line="276" w:lineRule="auto"/>
        <w:ind w:right="-28" w:firstLine="567"/>
        <w:jc w:val="both"/>
      </w:pPr>
    </w:p>
    <w:p w14:paraId="5A9E963D" w14:textId="77777777" w:rsidR="00AF189B" w:rsidRDefault="00AF189B" w:rsidP="00891C26">
      <w:pPr>
        <w:spacing w:line="276" w:lineRule="auto"/>
        <w:ind w:right="-28" w:firstLine="567"/>
        <w:jc w:val="both"/>
      </w:pPr>
    </w:p>
    <w:p w14:paraId="5AA9A18D" w14:textId="77777777" w:rsidR="002B3176" w:rsidRPr="00C67CA3" w:rsidRDefault="002B3176" w:rsidP="00891C26">
      <w:pPr>
        <w:spacing w:line="276" w:lineRule="auto"/>
        <w:ind w:right="-28" w:firstLine="567"/>
        <w:jc w:val="both"/>
      </w:pPr>
    </w:p>
    <w:p w14:paraId="38A78028" w14:textId="218EA179" w:rsidR="004F6C8C" w:rsidRPr="00C67CA3" w:rsidRDefault="00C72BFA" w:rsidP="00891C26">
      <w:pPr>
        <w:tabs>
          <w:tab w:val="left" w:pos="3969"/>
        </w:tabs>
        <w:spacing w:line="276" w:lineRule="auto"/>
        <w:ind w:right="-28"/>
        <w:jc w:val="both"/>
      </w:pPr>
      <w:r>
        <w:t>09</w:t>
      </w:r>
      <w:r w:rsidRPr="00C67CA3">
        <w:t xml:space="preserve"> </w:t>
      </w:r>
      <w:r w:rsidR="007E7782" w:rsidRPr="00C67CA3">
        <w:t>март 20</w:t>
      </w:r>
      <w:r w:rsidR="00101B5B">
        <w:t>20</w:t>
      </w:r>
      <w:r w:rsidR="007E7782" w:rsidRPr="00C67CA3">
        <w:t xml:space="preserve"> г</w:t>
      </w:r>
      <w:r w:rsidRPr="00C67CA3">
        <w:t>.</w:t>
      </w:r>
      <w:r>
        <w:tab/>
      </w:r>
      <w:r w:rsidR="004F6C8C" w:rsidRPr="00C67CA3">
        <w:t>Изпълнителен Директор:</w:t>
      </w:r>
      <w:r w:rsidR="00A90B72">
        <w:t xml:space="preserve"> </w:t>
      </w:r>
      <w:r w:rsidR="004F6C8C" w:rsidRPr="00C67CA3">
        <w:t>_____________________</w:t>
      </w:r>
    </w:p>
    <w:p w14:paraId="0CEC4185" w14:textId="77777777" w:rsidR="00473408" w:rsidRPr="00DB2345" w:rsidRDefault="004F6C8C" w:rsidP="00891C26">
      <w:pPr>
        <w:tabs>
          <w:tab w:val="left" w:pos="6946"/>
        </w:tabs>
        <w:spacing w:line="276" w:lineRule="auto"/>
        <w:ind w:right="-28"/>
        <w:jc w:val="both"/>
      </w:pPr>
      <w:r w:rsidRPr="00C67CA3">
        <w:t>гр. Бургас</w:t>
      </w:r>
      <w:r w:rsidRPr="00C67CA3">
        <w:tab/>
      </w:r>
      <w:r w:rsidRPr="00C67CA3">
        <w:rPr>
          <w:i/>
        </w:rPr>
        <w:t>и</w:t>
      </w:r>
      <w:r w:rsidR="00473408" w:rsidRPr="00C67CA3">
        <w:rPr>
          <w:i/>
        </w:rPr>
        <w:t>нж.</w:t>
      </w:r>
      <w:r w:rsidR="00225CC3" w:rsidRPr="00C67CA3">
        <w:rPr>
          <w:i/>
        </w:rPr>
        <w:t xml:space="preserve"> </w:t>
      </w:r>
      <w:r w:rsidR="00473408" w:rsidRPr="00C67CA3">
        <w:rPr>
          <w:i/>
        </w:rPr>
        <w:t>Г</w:t>
      </w:r>
      <w:r w:rsidRPr="00C67CA3">
        <w:rPr>
          <w:i/>
        </w:rPr>
        <w:t>анчо</w:t>
      </w:r>
      <w:r w:rsidR="00653EA1" w:rsidRPr="00C67CA3">
        <w:rPr>
          <w:i/>
        </w:rPr>
        <w:t xml:space="preserve"> </w:t>
      </w:r>
      <w:r w:rsidR="00473408" w:rsidRPr="00C67CA3">
        <w:rPr>
          <w:i/>
        </w:rPr>
        <w:t>Тенев</w:t>
      </w:r>
    </w:p>
    <w:p w14:paraId="5E9A4DA0" w14:textId="77777777" w:rsidR="00891C26" w:rsidRPr="00DB2345" w:rsidRDefault="00891C26">
      <w:pPr>
        <w:tabs>
          <w:tab w:val="left" w:pos="6946"/>
        </w:tabs>
        <w:spacing w:line="276" w:lineRule="auto"/>
        <w:ind w:right="-28"/>
        <w:jc w:val="both"/>
      </w:pPr>
    </w:p>
    <w:sectPr w:rsidR="00891C26" w:rsidRPr="00DB2345" w:rsidSect="00352D45">
      <w:headerReference w:type="default" r:id="rId13"/>
      <w:footerReference w:type="even" r:id="rId14"/>
      <w:footerReference w:type="default" r:id="rId15"/>
      <w:footerReference w:type="first" r:id="rId16"/>
      <w:pgSz w:w="11909" w:h="16834"/>
      <w:pgMar w:top="1417" w:right="1419" w:bottom="1417" w:left="1417" w:header="426" w:footer="207" w:gutter="0"/>
      <w:pgNumType w:start="1"/>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1D73" w14:textId="77777777" w:rsidR="006A7C16" w:rsidRDefault="006A7C16">
      <w:r>
        <w:separator/>
      </w:r>
    </w:p>
  </w:endnote>
  <w:endnote w:type="continuationSeparator" w:id="0">
    <w:p w14:paraId="398431CD" w14:textId="77777777" w:rsidR="006A7C16" w:rsidRDefault="006A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619C" w14:textId="77777777" w:rsidR="006A7C16" w:rsidRDefault="006A7C16" w:rsidP="00851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75D978B5" w14:textId="77777777" w:rsidR="006A7C16" w:rsidRDefault="006A7C16" w:rsidP="00AC7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6096"/>
      <w:docPartObj>
        <w:docPartGallery w:val="Page Numbers (Bottom of Page)"/>
        <w:docPartUnique/>
      </w:docPartObj>
    </w:sdtPr>
    <w:sdtEndPr/>
    <w:sdtContent>
      <w:p w14:paraId="08F2B822" w14:textId="17581E52" w:rsidR="006A7C16" w:rsidRDefault="006A7C16" w:rsidP="008440AB">
        <w:pPr>
          <w:pStyle w:val="Header"/>
          <w:spacing w:after="240" w:line="480" w:lineRule="auto"/>
        </w:pPr>
        <w:r>
          <w:rPr>
            <w:noProof/>
          </w:rPr>
          <mc:AlternateContent>
            <mc:Choice Requires="wps">
              <w:drawing>
                <wp:anchor distT="0" distB="0" distL="114300" distR="114300" simplePos="0" relativeHeight="251660288" behindDoc="0" locked="0" layoutInCell="1" allowOverlap="1" wp14:anchorId="5DFE0442" wp14:editId="52B22591">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DFAE266" w14:textId="77777777" w:rsidR="006A7C16" w:rsidRPr="00274321" w:rsidRDefault="006A7C16">
                              <w:pPr>
                                <w:pBdr>
                                  <w:top w:val="single" w:sz="4" w:space="1" w:color="7F7F7F" w:themeColor="background1" w:themeShade="7F"/>
                                </w:pBdr>
                                <w:jc w:val="center"/>
                                <w:rPr>
                                  <w:color w:val="365F91" w:themeColor="accent1" w:themeShade="BF"/>
                                </w:rPr>
                              </w:pPr>
                              <w:r w:rsidRPr="00274321">
                                <w:rPr>
                                  <w:color w:val="365F91" w:themeColor="accent1" w:themeShade="BF"/>
                                </w:rPr>
                                <w:fldChar w:fldCharType="begin"/>
                              </w:r>
                              <w:r w:rsidRPr="00274321">
                                <w:rPr>
                                  <w:color w:val="365F91" w:themeColor="accent1" w:themeShade="BF"/>
                                </w:rPr>
                                <w:instrText xml:space="preserve"> PAGE   \* MERGEFORMAT </w:instrText>
                              </w:r>
                              <w:r w:rsidRPr="00274321">
                                <w:rPr>
                                  <w:color w:val="365F91" w:themeColor="accent1" w:themeShade="BF"/>
                                </w:rPr>
                                <w:fldChar w:fldCharType="separate"/>
                              </w:r>
                              <w:r>
                                <w:rPr>
                                  <w:noProof/>
                                  <w:color w:val="365F91" w:themeColor="accent1" w:themeShade="BF"/>
                                </w:rPr>
                                <w:t>10</w:t>
                              </w:r>
                              <w:r w:rsidRPr="00274321">
                                <w:rPr>
                                  <w:color w:val="365F91"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cex="http://schemas.microsoft.com/office/word/2018/wordml/cex" xmlns:w16="http://schemas.microsoft.com/office/word/2018/wordml">
              <w:pict>
                <v:rect w14:anchorId="5DFE0442" id="Rectangle 1" o:spid="_x0000_s1027"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" filled="f" fillcolor="#c0504d [3205]" stroked="f" strokecolor="#4f81bd [3204]" strokeweight="2.25pt">
                  <v:textbox inset=",0,,0">
                    <w:txbxContent>
                      <w:p w14:paraId="5DFAE266" w14:textId="77777777" w:rsidR="00F8170A" w:rsidRPr="00274321" w:rsidRDefault="00F8170A">
                        <w:pPr>
                          <w:pBdr>
                            <w:top w:val="single" w:sz="4" w:space="1" w:color="7F7F7F" w:themeColor="background1" w:themeShade="7F"/>
                          </w:pBdr>
                          <w:jc w:val="center"/>
                          <w:rPr>
                            <w:color w:val="365F91" w:themeColor="accent1" w:themeShade="BF"/>
                          </w:rPr>
                        </w:pPr>
                        <w:r w:rsidRPr="00274321">
                          <w:rPr>
                            <w:color w:val="365F91" w:themeColor="accent1" w:themeShade="BF"/>
                          </w:rPr>
                          <w:fldChar w:fldCharType="begin"/>
                        </w:r>
                        <w:r w:rsidRPr="00274321">
                          <w:rPr>
                            <w:color w:val="365F91" w:themeColor="accent1" w:themeShade="BF"/>
                          </w:rPr>
                          <w:instrText xml:space="preserve"> PAGE   \* MERGEFORMAT </w:instrText>
                        </w:r>
                        <w:r w:rsidRPr="00274321">
                          <w:rPr>
                            <w:color w:val="365F91" w:themeColor="accent1" w:themeShade="BF"/>
                          </w:rPr>
                          <w:fldChar w:fldCharType="separate"/>
                        </w:r>
                        <w:r>
                          <w:rPr>
                            <w:noProof/>
                            <w:color w:val="365F91" w:themeColor="accent1" w:themeShade="BF"/>
                          </w:rPr>
                          <w:t>10</w:t>
                        </w:r>
                        <w:r w:rsidRPr="00274321">
                          <w:rPr>
                            <w:color w:val="365F91" w:themeColor="accent1" w:themeShade="BF"/>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DF56" w14:textId="77777777" w:rsidR="006A7C16" w:rsidRDefault="006A7C16">
    <w:pPr>
      <w:pStyle w:val="Footer"/>
    </w:pPr>
  </w:p>
  <w:p w14:paraId="367A9C31" w14:textId="77777777" w:rsidR="006A7C16" w:rsidRDefault="006A7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7CB6" w14:textId="77777777" w:rsidR="006A7C16" w:rsidRDefault="006A7C16">
      <w:r>
        <w:separator/>
      </w:r>
    </w:p>
  </w:footnote>
  <w:footnote w:type="continuationSeparator" w:id="0">
    <w:p w14:paraId="54ACD5E2" w14:textId="77777777" w:rsidR="006A7C16" w:rsidRDefault="006A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5AD7" w14:textId="77777777" w:rsidR="006A7C16" w:rsidRPr="006604F7" w:rsidRDefault="006A7C16" w:rsidP="00505B5F">
    <w:pPr>
      <w:pStyle w:val="Header"/>
      <w:pBdr>
        <w:bottom w:val="single" w:sz="2" w:space="1" w:color="auto"/>
      </w:pBdr>
      <w:spacing w:line="360" w:lineRule="auto"/>
      <w:ind w:firstLine="1276"/>
      <w:jc w:val="right"/>
    </w:pPr>
    <w:r>
      <w:rPr>
        <w:i/>
        <w:noProof/>
        <w:color w:val="000080"/>
      </w:rPr>
      <w:drawing>
        <wp:anchor distT="0" distB="0" distL="114300" distR="114300" simplePos="0" relativeHeight="251661312" behindDoc="0" locked="0" layoutInCell="1" allowOverlap="1" wp14:anchorId="6E2852E2" wp14:editId="1C009919">
          <wp:simplePos x="0" y="0"/>
          <wp:positionH relativeFrom="column">
            <wp:posOffset>-4445</wp:posOffset>
          </wp:positionH>
          <wp:positionV relativeFrom="paragraph">
            <wp:posOffset>-70485</wp:posOffset>
          </wp:positionV>
          <wp:extent cx="772795" cy="295275"/>
          <wp:effectExtent l="19050" t="0" r="8255" b="0"/>
          <wp:wrapNone/>
          <wp:docPr id="8" name="Picture 7" descr="vik-burgas-logo-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burgas-logo-symbol.png"/>
                  <pic:cNvPicPr/>
                </pic:nvPicPr>
                <pic:blipFill>
                  <a:blip r:embed="rId1"/>
                  <a:stretch>
                    <a:fillRect/>
                  </a:stretch>
                </pic:blipFill>
                <pic:spPr>
                  <a:xfrm>
                    <a:off x="0" y="0"/>
                    <a:ext cx="772795" cy="295275"/>
                  </a:xfrm>
                  <a:prstGeom prst="rect">
                    <a:avLst/>
                  </a:prstGeom>
                </pic:spPr>
              </pic:pic>
            </a:graphicData>
          </a:graphic>
        </wp:anchor>
      </w:drawing>
    </w:r>
    <w:r w:rsidRPr="006604F7">
      <w:rPr>
        <w:i/>
      </w:rPr>
      <w:t>Водоснабдяване и канализация ЕАД гр. Бургас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EF0388C"/>
    <w:lvl w:ilvl="0">
      <w:numFmt w:val="bullet"/>
      <w:lvlText w:val="*"/>
      <w:lvlJc w:val="left"/>
    </w:lvl>
  </w:abstractNum>
  <w:abstractNum w:abstractNumId="1" w15:restartNumberingAfterBreak="0">
    <w:nsid w:val="05401728"/>
    <w:multiLevelType w:val="hybridMultilevel"/>
    <w:tmpl w:val="175A6162"/>
    <w:lvl w:ilvl="0" w:tplc="04090001">
      <w:start w:val="1"/>
      <w:numFmt w:val="bullet"/>
      <w:lvlText w:val=""/>
      <w:lvlJc w:val="left"/>
      <w:pPr>
        <w:ind w:left="786"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5EC7042"/>
    <w:multiLevelType w:val="hybridMultilevel"/>
    <w:tmpl w:val="9F586796"/>
    <w:lvl w:ilvl="0" w:tplc="BECE90D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066158A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B711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D85B9F"/>
    <w:multiLevelType w:val="hybridMultilevel"/>
    <w:tmpl w:val="113EF084"/>
    <w:lvl w:ilvl="0" w:tplc="AA645EE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0F5026A0"/>
    <w:multiLevelType w:val="hybridMultilevel"/>
    <w:tmpl w:val="ED00A9E2"/>
    <w:lvl w:ilvl="0" w:tplc="33B2A71A">
      <w:start w:val="1"/>
      <w:numFmt w:val="decimal"/>
      <w:lvlText w:val="4.%1."/>
      <w:lvlJc w:val="left"/>
      <w:pPr>
        <w:ind w:left="1920" w:hanging="360"/>
      </w:pPr>
      <w:rPr>
        <w:rFonts w:hint="default"/>
      </w:rPr>
    </w:lvl>
    <w:lvl w:ilvl="1" w:tplc="04020019">
      <w:start w:val="1"/>
      <w:numFmt w:val="lowerLetter"/>
      <w:lvlText w:val="%2."/>
      <w:lvlJc w:val="left"/>
      <w:pPr>
        <w:ind w:left="-2529" w:hanging="360"/>
      </w:pPr>
    </w:lvl>
    <w:lvl w:ilvl="2" w:tplc="0402001B">
      <w:start w:val="1"/>
      <w:numFmt w:val="lowerRoman"/>
      <w:lvlText w:val="%3."/>
      <w:lvlJc w:val="right"/>
      <w:pPr>
        <w:ind w:left="-1809" w:hanging="180"/>
      </w:pPr>
    </w:lvl>
    <w:lvl w:ilvl="3" w:tplc="0402000F">
      <w:start w:val="1"/>
      <w:numFmt w:val="decimal"/>
      <w:lvlText w:val="%4."/>
      <w:lvlJc w:val="left"/>
      <w:pPr>
        <w:ind w:left="-1089" w:hanging="360"/>
      </w:pPr>
    </w:lvl>
    <w:lvl w:ilvl="4" w:tplc="04020019">
      <w:start w:val="1"/>
      <w:numFmt w:val="lowerLetter"/>
      <w:lvlText w:val="%5."/>
      <w:lvlJc w:val="left"/>
      <w:pPr>
        <w:ind w:left="-369" w:hanging="360"/>
      </w:pPr>
    </w:lvl>
    <w:lvl w:ilvl="5" w:tplc="0402001B">
      <w:start w:val="1"/>
      <w:numFmt w:val="lowerRoman"/>
      <w:lvlText w:val="%6."/>
      <w:lvlJc w:val="right"/>
      <w:pPr>
        <w:ind w:left="351" w:hanging="180"/>
      </w:pPr>
    </w:lvl>
    <w:lvl w:ilvl="6" w:tplc="0402000F">
      <w:start w:val="1"/>
      <w:numFmt w:val="decimal"/>
      <w:lvlText w:val="%7."/>
      <w:lvlJc w:val="left"/>
      <w:pPr>
        <w:ind w:left="1071" w:hanging="360"/>
      </w:pPr>
    </w:lvl>
    <w:lvl w:ilvl="7" w:tplc="04020019">
      <w:start w:val="1"/>
      <w:numFmt w:val="lowerLetter"/>
      <w:lvlText w:val="%8."/>
      <w:lvlJc w:val="left"/>
      <w:pPr>
        <w:ind w:left="1791" w:hanging="360"/>
      </w:pPr>
    </w:lvl>
    <w:lvl w:ilvl="8" w:tplc="0402001B">
      <w:start w:val="1"/>
      <w:numFmt w:val="lowerRoman"/>
      <w:lvlText w:val="%9."/>
      <w:lvlJc w:val="right"/>
      <w:pPr>
        <w:ind w:left="2511" w:hanging="180"/>
      </w:pPr>
    </w:lvl>
  </w:abstractNum>
  <w:abstractNum w:abstractNumId="7" w15:restartNumberingAfterBreak="0">
    <w:nsid w:val="0FDC21B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583ADF"/>
    <w:multiLevelType w:val="hybridMultilevel"/>
    <w:tmpl w:val="8D2A1A9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10775633"/>
    <w:multiLevelType w:val="hybridMultilevel"/>
    <w:tmpl w:val="530C7C0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15772D3D"/>
    <w:multiLevelType w:val="hybridMultilevel"/>
    <w:tmpl w:val="1A0243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98129D2"/>
    <w:multiLevelType w:val="hybridMultilevel"/>
    <w:tmpl w:val="593A9FCA"/>
    <w:lvl w:ilvl="0" w:tplc="5D225E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22883"/>
    <w:multiLevelType w:val="hybridMultilevel"/>
    <w:tmpl w:val="C24EA8C2"/>
    <w:lvl w:ilvl="0" w:tplc="04090001">
      <w:start w:val="1"/>
      <w:numFmt w:val="bullet"/>
      <w:lvlText w:val=""/>
      <w:lvlJc w:val="left"/>
      <w:pPr>
        <w:ind w:left="786"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3B43AA5"/>
    <w:multiLevelType w:val="multilevel"/>
    <w:tmpl w:val="61DA602E"/>
    <w:lvl w:ilvl="0">
      <w:start w:val="1"/>
      <w:numFmt w:val="decimal"/>
      <w:lvlText w:val="%1."/>
      <w:lvlJc w:val="left"/>
      <w:pPr>
        <w:ind w:left="360" w:hanging="360"/>
      </w:pPr>
    </w:lvl>
    <w:lvl w:ilvl="1">
      <w:start w:val="1"/>
      <w:numFmt w:val="decimal"/>
      <w:lvlText w:val="%1.%2."/>
      <w:lvlJc w:val="left"/>
      <w:pPr>
        <w:ind w:left="1850" w:hanging="432"/>
      </w:pPr>
      <w:rPr>
        <w:color w:val="5D2884"/>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D9055C"/>
    <w:multiLevelType w:val="hybridMultilevel"/>
    <w:tmpl w:val="9E72FD14"/>
    <w:lvl w:ilvl="0" w:tplc="04090001">
      <w:start w:val="1"/>
      <w:numFmt w:val="bullet"/>
      <w:lvlText w:val=""/>
      <w:lvlJc w:val="left"/>
      <w:pPr>
        <w:ind w:left="786"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7A9023F"/>
    <w:multiLevelType w:val="singleLevel"/>
    <w:tmpl w:val="AF7CB1F4"/>
    <w:lvl w:ilvl="0">
      <w:start w:val="1"/>
      <w:numFmt w:val="decimal"/>
      <w:lvlText w:val="%1."/>
      <w:legacy w:legacy="1" w:legacySpace="0" w:legacyIndent="223"/>
      <w:lvlJc w:val="left"/>
      <w:rPr>
        <w:rFonts w:ascii="Arial" w:hAnsi="Arial" w:cs="Arial" w:hint="default"/>
      </w:rPr>
    </w:lvl>
  </w:abstractNum>
  <w:abstractNum w:abstractNumId="16" w15:restartNumberingAfterBreak="0">
    <w:nsid w:val="3F21044F"/>
    <w:multiLevelType w:val="hybridMultilevel"/>
    <w:tmpl w:val="4B489B6E"/>
    <w:lvl w:ilvl="0" w:tplc="04020003">
      <w:start w:val="1"/>
      <w:numFmt w:val="bullet"/>
      <w:lvlText w:val="o"/>
      <w:lvlJc w:val="left"/>
      <w:pPr>
        <w:ind w:left="786"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43170CC6"/>
    <w:multiLevelType w:val="multilevel"/>
    <w:tmpl w:val="23EEB102"/>
    <w:lvl w:ilvl="0">
      <w:start w:val="1"/>
      <w:numFmt w:val="decimal"/>
      <w:lvlText w:val="%1."/>
      <w:lvlJc w:val="left"/>
      <w:pPr>
        <w:tabs>
          <w:tab w:val="num" w:pos="1065"/>
        </w:tabs>
        <w:ind w:left="1065" w:hanging="360"/>
      </w:pPr>
      <w:rPr>
        <w:rFonts w:cs="Times New Roman"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E65678"/>
    <w:multiLevelType w:val="multilevel"/>
    <w:tmpl w:val="C8B2E956"/>
    <w:lvl w:ilvl="0">
      <w:start w:val="1"/>
      <w:numFmt w:val="decimal"/>
      <w:lvlText w:val="%1."/>
      <w:lvlJc w:val="left"/>
      <w:pPr>
        <w:ind w:left="927"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9D655EC"/>
    <w:multiLevelType w:val="singleLevel"/>
    <w:tmpl w:val="114E286C"/>
    <w:lvl w:ilvl="0">
      <w:start w:val="1"/>
      <w:numFmt w:val="decimal"/>
      <w:lvlText w:val="%1. "/>
      <w:legacy w:legacy="1" w:legacySpace="0" w:legacyIndent="360"/>
      <w:lvlJc w:val="left"/>
      <w:pPr>
        <w:ind w:left="1080" w:hanging="360"/>
      </w:pPr>
      <w:rPr>
        <w:rFonts w:ascii="HebarU" w:hAnsi="HebarU" w:cs="HebarU" w:hint="default"/>
        <w:b w:val="0"/>
        <w:bCs w:val="0"/>
        <w:i w:val="0"/>
        <w:iCs w:val="0"/>
        <w:sz w:val="28"/>
        <w:szCs w:val="28"/>
        <w:u w:val="none"/>
      </w:rPr>
    </w:lvl>
  </w:abstractNum>
  <w:abstractNum w:abstractNumId="20" w15:restartNumberingAfterBreak="0">
    <w:nsid w:val="4A6C5BE8"/>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0100D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22413B"/>
    <w:multiLevelType w:val="hybridMultilevel"/>
    <w:tmpl w:val="80781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D19CF"/>
    <w:multiLevelType w:val="hybridMultilevel"/>
    <w:tmpl w:val="CF00D4D8"/>
    <w:lvl w:ilvl="0" w:tplc="1D0219DA">
      <w:start w:val="1"/>
      <w:numFmt w:val="upperRoman"/>
      <w:lvlText w:val="%1."/>
      <w:lvlJc w:val="right"/>
      <w:pPr>
        <w:ind w:left="720" w:hanging="360"/>
      </w:pPr>
      <w:rPr>
        <w:color w:val="auto"/>
      </w:rPr>
    </w:lvl>
    <w:lvl w:ilvl="1" w:tplc="0402000F">
      <w:start w:val="1"/>
      <w:numFmt w:val="decimal"/>
      <w:lvlText w:val="%2."/>
      <w:lvlJc w:val="left"/>
      <w:pPr>
        <w:tabs>
          <w:tab w:val="num" w:pos="1440"/>
        </w:tabs>
        <w:ind w:left="1440" w:hanging="360"/>
      </w:pPr>
      <w:rPr>
        <w:color w:val="auto"/>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7310D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0B0E11"/>
    <w:multiLevelType w:val="hybridMultilevel"/>
    <w:tmpl w:val="B6E6397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AD82D87"/>
    <w:multiLevelType w:val="hybridMultilevel"/>
    <w:tmpl w:val="E27085AA"/>
    <w:lvl w:ilvl="0" w:tplc="A7DAE234">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AEA66B9"/>
    <w:multiLevelType w:val="hybridMultilevel"/>
    <w:tmpl w:val="17C8BF9A"/>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EED4523"/>
    <w:multiLevelType w:val="hybridMultilevel"/>
    <w:tmpl w:val="FAD08330"/>
    <w:lvl w:ilvl="0" w:tplc="A7DAE234">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0C750B8"/>
    <w:multiLevelType w:val="singleLevel"/>
    <w:tmpl w:val="AC3E3E72"/>
    <w:lvl w:ilvl="0">
      <w:start w:val="1"/>
      <w:numFmt w:val="decimal"/>
      <w:lvlText w:val="%1."/>
      <w:legacy w:legacy="1" w:legacySpace="0" w:legacyIndent="352"/>
      <w:lvlJc w:val="left"/>
      <w:rPr>
        <w:rFonts w:ascii="Times New Roman" w:hAnsi="Times New Roman" w:cs="Times New Roman" w:hint="default"/>
      </w:rPr>
    </w:lvl>
  </w:abstractNum>
  <w:abstractNum w:abstractNumId="30" w15:restartNumberingAfterBreak="0">
    <w:nsid w:val="765F6B16"/>
    <w:multiLevelType w:val="hybridMultilevel"/>
    <w:tmpl w:val="31CE35DE"/>
    <w:lvl w:ilvl="0" w:tplc="0C3CCFC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9267716"/>
    <w:multiLevelType w:val="hybridMultilevel"/>
    <w:tmpl w:val="A6A46FFC"/>
    <w:lvl w:ilvl="0" w:tplc="8BE42FEA">
      <w:start w:val="28"/>
      <w:numFmt w:val="bullet"/>
      <w:lvlText w:val="-"/>
      <w:lvlJc w:val="left"/>
      <w:pPr>
        <w:tabs>
          <w:tab w:val="num" w:pos="3960"/>
        </w:tabs>
        <w:ind w:left="3960" w:hanging="360"/>
      </w:pPr>
      <w:rPr>
        <w:rFonts w:ascii="HebarU" w:eastAsia="Times New Roman" w:hAnsi="HebarU" w:hint="default"/>
      </w:rPr>
    </w:lvl>
    <w:lvl w:ilvl="1" w:tplc="04020003">
      <w:start w:val="1"/>
      <w:numFmt w:val="bullet"/>
      <w:lvlText w:val="o"/>
      <w:lvlJc w:val="left"/>
      <w:pPr>
        <w:tabs>
          <w:tab w:val="num" w:pos="4680"/>
        </w:tabs>
        <w:ind w:left="4680" w:hanging="360"/>
      </w:pPr>
      <w:rPr>
        <w:rFonts w:ascii="Courier New" w:hAnsi="Courier New" w:hint="default"/>
      </w:rPr>
    </w:lvl>
    <w:lvl w:ilvl="2" w:tplc="04020005">
      <w:start w:val="1"/>
      <w:numFmt w:val="bullet"/>
      <w:lvlText w:val=""/>
      <w:lvlJc w:val="left"/>
      <w:pPr>
        <w:tabs>
          <w:tab w:val="num" w:pos="5400"/>
        </w:tabs>
        <w:ind w:left="5400" w:hanging="360"/>
      </w:pPr>
      <w:rPr>
        <w:rFonts w:ascii="Wingdings" w:hAnsi="Wingdings" w:hint="default"/>
      </w:rPr>
    </w:lvl>
    <w:lvl w:ilvl="3" w:tplc="04020001">
      <w:start w:val="1"/>
      <w:numFmt w:val="bullet"/>
      <w:lvlText w:val=""/>
      <w:lvlJc w:val="left"/>
      <w:pPr>
        <w:tabs>
          <w:tab w:val="num" w:pos="6120"/>
        </w:tabs>
        <w:ind w:left="6120" w:hanging="360"/>
      </w:pPr>
      <w:rPr>
        <w:rFonts w:ascii="Symbol" w:hAnsi="Symbol" w:hint="default"/>
      </w:rPr>
    </w:lvl>
    <w:lvl w:ilvl="4" w:tplc="04020003">
      <w:start w:val="1"/>
      <w:numFmt w:val="bullet"/>
      <w:lvlText w:val="o"/>
      <w:lvlJc w:val="left"/>
      <w:pPr>
        <w:tabs>
          <w:tab w:val="num" w:pos="6840"/>
        </w:tabs>
        <w:ind w:left="6840" w:hanging="360"/>
      </w:pPr>
      <w:rPr>
        <w:rFonts w:ascii="Courier New" w:hAnsi="Courier New" w:hint="default"/>
      </w:rPr>
    </w:lvl>
    <w:lvl w:ilvl="5" w:tplc="04020005">
      <w:start w:val="1"/>
      <w:numFmt w:val="bullet"/>
      <w:lvlText w:val=""/>
      <w:lvlJc w:val="left"/>
      <w:pPr>
        <w:tabs>
          <w:tab w:val="num" w:pos="7560"/>
        </w:tabs>
        <w:ind w:left="7560" w:hanging="360"/>
      </w:pPr>
      <w:rPr>
        <w:rFonts w:ascii="Wingdings" w:hAnsi="Wingdings" w:hint="default"/>
      </w:rPr>
    </w:lvl>
    <w:lvl w:ilvl="6" w:tplc="04020001">
      <w:start w:val="1"/>
      <w:numFmt w:val="bullet"/>
      <w:lvlText w:val=""/>
      <w:lvlJc w:val="left"/>
      <w:pPr>
        <w:tabs>
          <w:tab w:val="num" w:pos="8280"/>
        </w:tabs>
        <w:ind w:left="8280" w:hanging="360"/>
      </w:pPr>
      <w:rPr>
        <w:rFonts w:ascii="Symbol" w:hAnsi="Symbol" w:hint="default"/>
      </w:rPr>
    </w:lvl>
    <w:lvl w:ilvl="7" w:tplc="04020003">
      <w:start w:val="1"/>
      <w:numFmt w:val="bullet"/>
      <w:lvlText w:val="o"/>
      <w:lvlJc w:val="left"/>
      <w:pPr>
        <w:tabs>
          <w:tab w:val="num" w:pos="9000"/>
        </w:tabs>
        <w:ind w:left="9000" w:hanging="360"/>
      </w:pPr>
      <w:rPr>
        <w:rFonts w:ascii="Courier New" w:hAnsi="Courier New" w:hint="default"/>
      </w:rPr>
    </w:lvl>
    <w:lvl w:ilvl="8" w:tplc="04020005">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7F2F0496"/>
    <w:multiLevelType w:val="hybridMultilevel"/>
    <w:tmpl w:val="F5C6700E"/>
    <w:lvl w:ilvl="0" w:tplc="FECC5F0E">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num w:numId="1">
    <w:abstractNumId w:val="29"/>
  </w:num>
  <w:num w:numId="2">
    <w:abstractNumId w:val="0"/>
    <w:lvlOverride w:ilvl="0">
      <w:lvl w:ilvl="0">
        <w:numFmt w:val="bullet"/>
        <w:lvlText w:val="•"/>
        <w:legacy w:legacy="1" w:legacySpace="0" w:legacyIndent="353"/>
        <w:lvlJc w:val="left"/>
        <w:rPr>
          <w:rFonts w:ascii="Times New Roman" w:hAnsi="Times New Roman" w:hint="default"/>
        </w:rPr>
      </w:lvl>
    </w:lvlOverride>
  </w:num>
  <w:num w:numId="3">
    <w:abstractNumId w:val="0"/>
    <w:lvlOverride w:ilvl="0">
      <w:lvl w:ilvl="0">
        <w:numFmt w:val="bullet"/>
        <w:lvlText w:val="•"/>
        <w:legacy w:legacy="1" w:legacySpace="0" w:legacyIndent="360"/>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31"/>
  </w:num>
  <w:num w:numId="6">
    <w:abstractNumId w:val="19"/>
  </w:num>
  <w:num w:numId="7">
    <w:abstractNumId w:val="15"/>
  </w:num>
  <w:num w:numId="8">
    <w:abstractNumId w:val="17"/>
  </w:num>
  <w:num w:numId="9">
    <w:abstractNumId w:val="32"/>
  </w:num>
  <w:num w:numId="10">
    <w:abstractNumId w:val="16"/>
  </w:num>
  <w:num w:numId="11">
    <w:abstractNumId w:val="27"/>
  </w:num>
  <w:num w:numId="12">
    <w:abstractNumId w:val="3"/>
  </w:num>
  <w:num w:numId="13">
    <w:abstractNumId w:val="21"/>
  </w:num>
  <w:num w:numId="14">
    <w:abstractNumId w:val="18"/>
  </w:num>
  <w:num w:numId="15">
    <w:abstractNumId w:val="12"/>
  </w:num>
  <w:num w:numId="16">
    <w:abstractNumId w:val="1"/>
  </w:num>
  <w:num w:numId="17">
    <w:abstractNumId w:val="14"/>
  </w:num>
  <w:num w:numId="18">
    <w:abstractNumId w:val="20"/>
  </w:num>
  <w:num w:numId="19">
    <w:abstractNumId w:val="5"/>
  </w:num>
  <w:num w:numId="20">
    <w:abstractNumId w:val="2"/>
  </w:num>
  <w:num w:numId="21">
    <w:abstractNumId w:val="11"/>
  </w:num>
  <w:num w:numId="22">
    <w:abstractNumId w:val="13"/>
  </w:num>
  <w:num w:numId="23">
    <w:abstractNumId w:val="9"/>
  </w:num>
  <w:num w:numId="24">
    <w:abstractNumId w:val="22"/>
  </w:num>
  <w:num w:numId="25">
    <w:abstractNumId w:val="8"/>
  </w:num>
  <w:num w:numId="26">
    <w:abstractNumId w:val="6"/>
  </w:num>
  <w:num w:numId="27">
    <w:abstractNumId w:val="23"/>
  </w:num>
  <w:num w:numId="28">
    <w:abstractNumId w:val="26"/>
  </w:num>
  <w:num w:numId="29">
    <w:abstractNumId w:val="28"/>
  </w:num>
  <w:num w:numId="30">
    <w:abstractNumId w:val="24"/>
  </w:num>
  <w:num w:numId="31">
    <w:abstractNumId w:val="10"/>
  </w:num>
  <w:num w:numId="32">
    <w:abstractNumId w:val="25"/>
  </w:num>
  <w:num w:numId="33">
    <w:abstractNumId w:val="30"/>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F0"/>
    <w:rsid w:val="0000178F"/>
    <w:rsid w:val="00002455"/>
    <w:rsid w:val="0000280B"/>
    <w:rsid w:val="00002F28"/>
    <w:rsid w:val="00004820"/>
    <w:rsid w:val="00006DC0"/>
    <w:rsid w:val="0000749A"/>
    <w:rsid w:val="00011133"/>
    <w:rsid w:val="000136AF"/>
    <w:rsid w:val="000159EC"/>
    <w:rsid w:val="00015F6B"/>
    <w:rsid w:val="00020287"/>
    <w:rsid w:val="00021EBE"/>
    <w:rsid w:val="00022BCC"/>
    <w:rsid w:val="00023052"/>
    <w:rsid w:val="0002361C"/>
    <w:rsid w:val="00025AE0"/>
    <w:rsid w:val="00026591"/>
    <w:rsid w:val="000269C2"/>
    <w:rsid w:val="00027A6A"/>
    <w:rsid w:val="00031A54"/>
    <w:rsid w:val="0003385A"/>
    <w:rsid w:val="00034BE0"/>
    <w:rsid w:val="00035108"/>
    <w:rsid w:val="00040EA1"/>
    <w:rsid w:val="00042DA8"/>
    <w:rsid w:val="000458C7"/>
    <w:rsid w:val="00046353"/>
    <w:rsid w:val="00047311"/>
    <w:rsid w:val="00051EAB"/>
    <w:rsid w:val="00051FF6"/>
    <w:rsid w:val="00054661"/>
    <w:rsid w:val="00056672"/>
    <w:rsid w:val="00057B08"/>
    <w:rsid w:val="000636A9"/>
    <w:rsid w:val="00063EFE"/>
    <w:rsid w:val="00063FCF"/>
    <w:rsid w:val="00065CEE"/>
    <w:rsid w:val="00071DFD"/>
    <w:rsid w:val="000735FE"/>
    <w:rsid w:val="00073BCC"/>
    <w:rsid w:val="00073F4B"/>
    <w:rsid w:val="0007463E"/>
    <w:rsid w:val="000761E3"/>
    <w:rsid w:val="00076FFF"/>
    <w:rsid w:val="000800B4"/>
    <w:rsid w:val="000811E9"/>
    <w:rsid w:val="00081F42"/>
    <w:rsid w:val="000820E7"/>
    <w:rsid w:val="00082F3C"/>
    <w:rsid w:val="00084DF2"/>
    <w:rsid w:val="00085BDC"/>
    <w:rsid w:val="000911C5"/>
    <w:rsid w:val="00091BB5"/>
    <w:rsid w:val="00092050"/>
    <w:rsid w:val="00093A46"/>
    <w:rsid w:val="00093CAE"/>
    <w:rsid w:val="00094547"/>
    <w:rsid w:val="00095C1C"/>
    <w:rsid w:val="00096686"/>
    <w:rsid w:val="00096976"/>
    <w:rsid w:val="00096F8C"/>
    <w:rsid w:val="00097A5B"/>
    <w:rsid w:val="00097B28"/>
    <w:rsid w:val="000A1C62"/>
    <w:rsid w:val="000A40B9"/>
    <w:rsid w:val="000A52E1"/>
    <w:rsid w:val="000A6A2A"/>
    <w:rsid w:val="000A70B3"/>
    <w:rsid w:val="000B02D3"/>
    <w:rsid w:val="000B1B75"/>
    <w:rsid w:val="000B272A"/>
    <w:rsid w:val="000B3C44"/>
    <w:rsid w:val="000B6F00"/>
    <w:rsid w:val="000B76EE"/>
    <w:rsid w:val="000B7757"/>
    <w:rsid w:val="000C0B57"/>
    <w:rsid w:val="000C0D22"/>
    <w:rsid w:val="000C3C18"/>
    <w:rsid w:val="000C4550"/>
    <w:rsid w:val="000D13DF"/>
    <w:rsid w:val="000D1C0E"/>
    <w:rsid w:val="000D2D6C"/>
    <w:rsid w:val="000D5591"/>
    <w:rsid w:val="000D589A"/>
    <w:rsid w:val="000D5B25"/>
    <w:rsid w:val="000D5FEC"/>
    <w:rsid w:val="000E1888"/>
    <w:rsid w:val="000E330C"/>
    <w:rsid w:val="000E6CF9"/>
    <w:rsid w:val="000E7EF0"/>
    <w:rsid w:val="000F04CF"/>
    <w:rsid w:val="000F0C03"/>
    <w:rsid w:val="000F22EF"/>
    <w:rsid w:val="000F5330"/>
    <w:rsid w:val="000F77FA"/>
    <w:rsid w:val="00101B5B"/>
    <w:rsid w:val="00107C23"/>
    <w:rsid w:val="0011101A"/>
    <w:rsid w:val="00111D4C"/>
    <w:rsid w:val="00111EB4"/>
    <w:rsid w:val="001151C7"/>
    <w:rsid w:val="00116E94"/>
    <w:rsid w:val="001170B4"/>
    <w:rsid w:val="00117CE4"/>
    <w:rsid w:val="00121F0A"/>
    <w:rsid w:val="0012247A"/>
    <w:rsid w:val="00123B22"/>
    <w:rsid w:val="00127B74"/>
    <w:rsid w:val="00127D3E"/>
    <w:rsid w:val="00133438"/>
    <w:rsid w:val="00134604"/>
    <w:rsid w:val="00136CF8"/>
    <w:rsid w:val="0013720F"/>
    <w:rsid w:val="00142FB0"/>
    <w:rsid w:val="0014743A"/>
    <w:rsid w:val="00147A67"/>
    <w:rsid w:val="001507E1"/>
    <w:rsid w:val="00150C67"/>
    <w:rsid w:val="00154AF7"/>
    <w:rsid w:val="00155221"/>
    <w:rsid w:val="00155829"/>
    <w:rsid w:val="001559BF"/>
    <w:rsid w:val="001559EF"/>
    <w:rsid w:val="0016016A"/>
    <w:rsid w:val="00160B96"/>
    <w:rsid w:val="00160DFF"/>
    <w:rsid w:val="001638D2"/>
    <w:rsid w:val="001640A5"/>
    <w:rsid w:val="00164DCD"/>
    <w:rsid w:val="00166C72"/>
    <w:rsid w:val="00166EED"/>
    <w:rsid w:val="00170D45"/>
    <w:rsid w:val="0017165C"/>
    <w:rsid w:val="00172E13"/>
    <w:rsid w:val="00173EA3"/>
    <w:rsid w:val="00175115"/>
    <w:rsid w:val="001757B5"/>
    <w:rsid w:val="00177BB0"/>
    <w:rsid w:val="0018148F"/>
    <w:rsid w:val="00181ACA"/>
    <w:rsid w:val="00181AFD"/>
    <w:rsid w:val="00182674"/>
    <w:rsid w:val="00185ADB"/>
    <w:rsid w:val="00186324"/>
    <w:rsid w:val="00186475"/>
    <w:rsid w:val="00192704"/>
    <w:rsid w:val="00194F3A"/>
    <w:rsid w:val="00195D83"/>
    <w:rsid w:val="00196AAB"/>
    <w:rsid w:val="00196D65"/>
    <w:rsid w:val="00196EEC"/>
    <w:rsid w:val="001973AB"/>
    <w:rsid w:val="001A1AC9"/>
    <w:rsid w:val="001A2352"/>
    <w:rsid w:val="001A2DC2"/>
    <w:rsid w:val="001A654B"/>
    <w:rsid w:val="001B0718"/>
    <w:rsid w:val="001B0A54"/>
    <w:rsid w:val="001B16CB"/>
    <w:rsid w:val="001B1E09"/>
    <w:rsid w:val="001B5185"/>
    <w:rsid w:val="001B544A"/>
    <w:rsid w:val="001B68E8"/>
    <w:rsid w:val="001C2475"/>
    <w:rsid w:val="001C2B62"/>
    <w:rsid w:val="001C6BAF"/>
    <w:rsid w:val="001D1E86"/>
    <w:rsid w:val="001D4153"/>
    <w:rsid w:val="001D5504"/>
    <w:rsid w:val="001D5680"/>
    <w:rsid w:val="001D5C44"/>
    <w:rsid w:val="001D61F8"/>
    <w:rsid w:val="001D6BDE"/>
    <w:rsid w:val="001E2BBC"/>
    <w:rsid w:val="001E32EA"/>
    <w:rsid w:val="001E44D6"/>
    <w:rsid w:val="001E4CBF"/>
    <w:rsid w:val="001E74B5"/>
    <w:rsid w:val="001E75F6"/>
    <w:rsid w:val="001F02B4"/>
    <w:rsid w:val="001F22FF"/>
    <w:rsid w:val="001F2FDD"/>
    <w:rsid w:val="001F37A6"/>
    <w:rsid w:val="001F4E98"/>
    <w:rsid w:val="001F60CC"/>
    <w:rsid w:val="001F619A"/>
    <w:rsid w:val="001F7DE6"/>
    <w:rsid w:val="002030D1"/>
    <w:rsid w:val="002043A8"/>
    <w:rsid w:val="0020751C"/>
    <w:rsid w:val="00212593"/>
    <w:rsid w:val="00216BBE"/>
    <w:rsid w:val="002171B1"/>
    <w:rsid w:val="002201B1"/>
    <w:rsid w:val="002201F2"/>
    <w:rsid w:val="00220955"/>
    <w:rsid w:val="00221385"/>
    <w:rsid w:val="00225CC3"/>
    <w:rsid w:val="00227150"/>
    <w:rsid w:val="002271DF"/>
    <w:rsid w:val="002272B6"/>
    <w:rsid w:val="002305A0"/>
    <w:rsid w:val="002318F7"/>
    <w:rsid w:val="00233B22"/>
    <w:rsid w:val="002368DB"/>
    <w:rsid w:val="00237B87"/>
    <w:rsid w:val="00240B9B"/>
    <w:rsid w:val="002410D3"/>
    <w:rsid w:val="00242AFA"/>
    <w:rsid w:val="00246467"/>
    <w:rsid w:val="00252022"/>
    <w:rsid w:val="00252368"/>
    <w:rsid w:val="00254204"/>
    <w:rsid w:val="00254FCE"/>
    <w:rsid w:val="00256109"/>
    <w:rsid w:val="00257598"/>
    <w:rsid w:val="00257615"/>
    <w:rsid w:val="002612C4"/>
    <w:rsid w:val="0026328B"/>
    <w:rsid w:val="00263DB4"/>
    <w:rsid w:val="0027056B"/>
    <w:rsid w:val="00273024"/>
    <w:rsid w:val="00274321"/>
    <w:rsid w:val="002749B6"/>
    <w:rsid w:val="002762CF"/>
    <w:rsid w:val="002774A8"/>
    <w:rsid w:val="002801DA"/>
    <w:rsid w:val="002838AE"/>
    <w:rsid w:val="002857FC"/>
    <w:rsid w:val="00285CBC"/>
    <w:rsid w:val="002862E3"/>
    <w:rsid w:val="0029174E"/>
    <w:rsid w:val="00293CED"/>
    <w:rsid w:val="00294084"/>
    <w:rsid w:val="00294B4F"/>
    <w:rsid w:val="002950AA"/>
    <w:rsid w:val="002A1534"/>
    <w:rsid w:val="002A6584"/>
    <w:rsid w:val="002A67C6"/>
    <w:rsid w:val="002B02B4"/>
    <w:rsid w:val="002B102E"/>
    <w:rsid w:val="002B3176"/>
    <w:rsid w:val="002B4CF9"/>
    <w:rsid w:val="002B5C76"/>
    <w:rsid w:val="002B5EA9"/>
    <w:rsid w:val="002B79C8"/>
    <w:rsid w:val="002C0633"/>
    <w:rsid w:val="002C08F0"/>
    <w:rsid w:val="002C10BB"/>
    <w:rsid w:val="002C1C26"/>
    <w:rsid w:val="002C4549"/>
    <w:rsid w:val="002C46B3"/>
    <w:rsid w:val="002D0114"/>
    <w:rsid w:val="002D199C"/>
    <w:rsid w:val="002D3B1B"/>
    <w:rsid w:val="002E24C0"/>
    <w:rsid w:val="002E32BB"/>
    <w:rsid w:val="002E3D44"/>
    <w:rsid w:val="002E4C21"/>
    <w:rsid w:val="002E4DC0"/>
    <w:rsid w:val="002E5D56"/>
    <w:rsid w:val="002F0027"/>
    <w:rsid w:val="002F193B"/>
    <w:rsid w:val="002F21F1"/>
    <w:rsid w:val="002F4AFE"/>
    <w:rsid w:val="002F5072"/>
    <w:rsid w:val="002F6D9A"/>
    <w:rsid w:val="002F7DE1"/>
    <w:rsid w:val="00305E14"/>
    <w:rsid w:val="0030683E"/>
    <w:rsid w:val="00307BB8"/>
    <w:rsid w:val="00307DE6"/>
    <w:rsid w:val="00312D22"/>
    <w:rsid w:val="00314994"/>
    <w:rsid w:val="00316C46"/>
    <w:rsid w:val="00317885"/>
    <w:rsid w:val="003205DD"/>
    <w:rsid w:val="00320970"/>
    <w:rsid w:val="00320DC9"/>
    <w:rsid w:val="00327E94"/>
    <w:rsid w:val="003308C3"/>
    <w:rsid w:val="003313FE"/>
    <w:rsid w:val="0033179A"/>
    <w:rsid w:val="0033288A"/>
    <w:rsid w:val="0033397C"/>
    <w:rsid w:val="00336B4C"/>
    <w:rsid w:val="00336E5F"/>
    <w:rsid w:val="0034037B"/>
    <w:rsid w:val="003405B0"/>
    <w:rsid w:val="003427D7"/>
    <w:rsid w:val="003448CA"/>
    <w:rsid w:val="00345F87"/>
    <w:rsid w:val="00345F89"/>
    <w:rsid w:val="00346133"/>
    <w:rsid w:val="00347C28"/>
    <w:rsid w:val="003506D0"/>
    <w:rsid w:val="003529D0"/>
    <w:rsid w:val="00352D45"/>
    <w:rsid w:val="00354498"/>
    <w:rsid w:val="00354CD1"/>
    <w:rsid w:val="003550AF"/>
    <w:rsid w:val="00356C4F"/>
    <w:rsid w:val="00360694"/>
    <w:rsid w:val="00360E77"/>
    <w:rsid w:val="00361B69"/>
    <w:rsid w:val="00362490"/>
    <w:rsid w:val="00364812"/>
    <w:rsid w:val="003652B5"/>
    <w:rsid w:val="00367709"/>
    <w:rsid w:val="00367A1D"/>
    <w:rsid w:val="0037216D"/>
    <w:rsid w:val="00374004"/>
    <w:rsid w:val="00375C11"/>
    <w:rsid w:val="00376C40"/>
    <w:rsid w:val="00377122"/>
    <w:rsid w:val="00381921"/>
    <w:rsid w:val="0038209A"/>
    <w:rsid w:val="00383022"/>
    <w:rsid w:val="003840F8"/>
    <w:rsid w:val="00385546"/>
    <w:rsid w:val="00386B43"/>
    <w:rsid w:val="00386DB7"/>
    <w:rsid w:val="0038703F"/>
    <w:rsid w:val="00390E6D"/>
    <w:rsid w:val="00392744"/>
    <w:rsid w:val="003949D9"/>
    <w:rsid w:val="00395D82"/>
    <w:rsid w:val="003965CD"/>
    <w:rsid w:val="003A13E9"/>
    <w:rsid w:val="003A2832"/>
    <w:rsid w:val="003A3900"/>
    <w:rsid w:val="003A4FE1"/>
    <w:rsid w:val="003A51B7"/>
    <w:rsid w:val="003A627B"/>
    <w:rsid w:val="003A6341"/>
    <w:rsid w:val="003A6403"/>
    <w:rsid w:val="003B0415"/>
    <w:rsid w:val="003B1B11"/>
    <w:rsid w:val="003B2724"/>
    <w:rsid w:val="003B3A56"/>
    <w:rsid w:val="003B48CD"/>
    <w:rsid w:val="003B4D97"/>
    <w:rsid w:val="003B5CAC"/>
    <w:rsid w:val="003B6ADD"/>
    <w:rsid w:val="003B6B2E"/>
    <w:rsid w:val="003C40F6"/>
    <w:rsid w:val="003C5A8F"/>
    <w:rsid w:val="003C5AD1"/>
    <w:rsid w:val="003C7AAE"/>
    <w:rsid w:val="003D0456"/>
    <w:rsid w:val="003D1E6D"/>
    <w:rsid w:val="003D2D53"/>
    <w:rsid w:val="003D3A71"/>
    <w:rsid w:val="003D4BD5"/>
    <w:rsid w:val="003D6832"/>
    <w:rsid w:val="003D7D84"/>
    <w:rsid w:val="003D7F59"/>
    <w:rsid w:val="003E5577"/>
    <w:rsid w:val="003E6C14"/>
    <w:rsid w:val="003F045C"/>
    <w:rsid w:val="003F324D"/>
    <w:rsid w:val="003F41D3"/>
    <w:rsid w:val="003F5D5A"/>
    <w:rsid w:val="003F7289"/>
    <w:rsid w:val="004001BA"/>
    <w:rsid w:val="00401487"/>
    <w:rsid w:val="004036B3"/>
    <w:rsid w:val="0040470A"/>
    <w:rsid w:val="00405AB7"/>
    <w:rsid w:val="004063E6"/>
    <w:rsid w:val="00412041"/>
    <w:rsid w:val="004123CC"/>
    <w:rsid w:val="00413922"/>
    <w:rsid w:val="004166DC"/>
    <w:rsid w:val="00416EC7"/>
    <w:rsid w:val="004177E2"/>
    <w:rsid w:val="004239B5"/>
    <w:rsid w:val="00424C06"/>
    <w:rsid w:val="00425ED4"/>
    <w:rsid w:val="004304E0"/>
    <w:rsid w:val="004304F4"/>
    <w:rsid w:val="004307C7"/>
    <w:rsid w:val="00430F51"/>
    <w:rsid w:val="004326BB"/>
    <w:rsid w:val="0043333A"/>
    <w:rsid w:val="0043356F"/>
    <w:rsid w:val="00433E01"/>
    <w:rsid w:val="00435801"/>
    <w:rsid w:val="0043716A"/>
    <w:rsid w:val="0043739D"/>
    <w:rsid w:val="00441F50"/>
    <w:rsid w:val="00442A4D"/>
    <w:rsid w:val="00445744"/>
    <w:rsid w:val="004465A6"/>
    <w:rsid w:val="0044762D"/>
    <w:rsid w:val="0045285C"/>
    <w:rsid w:val="00453C0C"/>
    <w:rsid w:val="00457933"/>
    <w:rsid w:val="00457BC5"/>
    <w:rsid w:val="004602AA"/>
    <w:rsid w:val="00461980"/>
    <w:rsid w:val="0046361F"/>
    <w:rsid w:val="00463EDD"/>
    <w:rsid w:val="00471E1C"/>
    <w:rsid w:val="00473408"/>
    <w:rsid w:val="004744F8"/>
    <w:rsid w:val="004755F3"/>
    <w:rsid w:val="00476449"/>
    <w:rsid w:val="00480AFE"/>
    <w:rsid w:val="00482B77"/>
    <w:rsid w:val="0048373F"/>
    <w:rsid w:val="00486132"/>
    <w:rsid w:val="004914E7"/>
    <w:rsid w:val="004942E9"/>
    <w:rsid w:val="0049537E"/>
    <w:rsid w:val="004A0030"/>
    <w:rsid w:val="004A079E"/>
    <w:rsid w:val="004A08D9"/>
    <w:rsid w:val="004A253D"/>
    <w:rsid w:val="004A3E07"/>
    <w:rsid w:val="004A40AC"/>
    <w:rsid w:val="004B138B"/>
    <w:rsid w:val="004B3B9D"/>
    <w:rsid w:val="004B45FE"/>
    <w:rsid w:val="004B4798"/>
    <w:rsid w:val="004B4966"/>
    <w:rsid w:val="004B5EA3"/>
    <w:rsid w:val="004B7464"/>
    <w:rsid w:val="004B79D9"/>
    <w:rsid w:val="004B7A59"/>
    <w:rsid w:val="004C0C15"/>
    <w:rsid w:val="004C3416"/>
    <w:rsid w:val="004C59AE"/>
    <w:rsid w:val="004D069F"/>
    <w:rsid w:val="004D1E92"/>
    <w:rsid w:val="004D3516"/>
    <w:rsid w:val="004D3828"/>
    <w:rsid w:val="004D4651"/>
    <w:rsid w:val="004D58C7"/>
    <w:rsid w:val="004D5E2C"/>
    <w:rsid w:val="004E15F9"/>
    <w:rsid w:val="004E1CAD"/>
    <w:rsid w:val="004E1ECE"/>
    <w:rsid w:val="004E3BBA"/>
    <w:rsid w:val="004E4A1F"/>
    <w:rsid w:val="004E59B1"/>
    <w:rsid w:val="004E59F6"/>
    <w:rsid w:val="004F0821"/>
    <w:rsid w:val="004F31AE"/>
    <w:rsid w:val="004F3B48"/>
    <w:rsid w:val="004F41A8"/>
    <w:rsid w:val="004F52F5"/>
    <w:rsid w:val="004F68C1"/>
    <w:rsid w:val="004F6C8C"/>
    <w:rsid w:val="005007A8"/>
    <w:rsid w:val="00500999"/>
    <w:rsid w:val="005011FF"/>
    <w:rsid w:val="005015AE"/>
    <w:rsid w:val="00502DBC"/>
    <w:rsid w:val="00505798"/>
    <w:rsid w:val="0050597D"/>
    <w:rsid w:val="00505B5F"/>
    <w:rsid w:val="00505CBB"/>
    <w:rsid w:val="005149D6"/>
    <w:rsid w:val="00514B7B"/>
    <w:rsid w:val="005158F2"/>
    <w:rsid w:val="005163AF"/>
    <w:rsid w:val="00516EC4"/>
    <w:rsid w:val="0052190F"/>
    <w:rsid w:val="00522B93"/>
    <w:rsid w:val="00523F35"/>
    <w:rsid w:val="005339B6"/>
    <w:rsid w:val="005342A7"/>
    <w:rsid w:val="005379D1"/>
    <w:rsid w:val="005428B3"/>
    <w:rsid w:val="00543699"/>
    <w:rsid w:val="0054400A"/>
    <w:rsid w:val="005445B5"/>
    <w:rsid w:val="0054617F"/>
    <w:rsid w:val="005543D1"/>
    <w:rsid w:val="00557A8D"/>
    <w:rsid w:val="00557D93"/>
    <w:rsid w:val="00561E00"/>
    <w:rsid w:val="0056514C"/>
    <w:rsid w:val="00567057"/>
    <w:rsid w:val="00567374"/>
    <w:rsid w:val="0057306D"/>
    <w:rsid w:val="005732C3"/>
    <w:rsid w:val="00573825"/>
    <w:rsid w:val="005773FB"/>
    <w:rsid w:val="00577776"/>
    <w:rsid w:val="00583B1B"/>
    <w:rsid w:val="005850F0"/>
    <w:rsid w:val="005876F5"/>
    <w:rsid w:val="0059000F"/>
    <w:rsid w:val="00590982"/>
    <w:rsid w:val="00591AD3"/>
    <w:rsid w:val="005931A9"/>
    <w:rsid w:val="005940E5"/>
    <w:rsid w:val="00595F09"/>
    <w:rsid w:val="00597F5A"/>
    <w:rsid w:val="005A10E6"/>
    <w:rsid w:val="005A435A"/>
    <w:rsid w:val="005A44D6"/>
    <w:rsid w:val="005A486F"/>
    <w:rsid w:val="005A5955"/>
    <w:rsid w:val="005A5C4C"/>
    <w:rsid w:val="005A7B6F"/>
    <w:rsid w:val="005A7D6C"/>
    <w:rsid w:val="005B051F"/>
    <w:rsid w:val="005B0BDD"/>
    <w:rsid w:val="005B0DCF"/>
    <w:rsid w:val="005B0E45"/>
    <w:rsid w:val="005B0F69"/>
    <w:rsid w:val="005B2E5D"/>
    <w:rsid w:val="005B5A13"/>
    <w:rsid w:val="005B67EC"/>
    <w:rsid w:val="005C0343"/>
    <w:rsid w:val="005C202A"/>
    <w:rsid w:val="005C661B"/>
    <w:rsid w:val="005C7F03"/>
    <w:rsid w:val="005D0D14"/>
    <w:rsid w:val="005D199E"/>
    <w:rsid w:val="005D2B03"/>
    <w:rsid w:val="005D2EA1"/>
    <w:rsid w:val="005D4514"/>
    <w:rsid w:val="005D4B6D"/>
    <w:rsid w:val="005D57C9"/>
    <w:rsid w:val="005D69CE"/>
    <w:rsid w:val="005D6B7F"/>
    <w:rsid w:val="005D77B5"/>
    <w:rsid w:val="005D7D61"/>
    <w:rsid w:val="005E1341"/>
    <w:rsid w:val="005E59C2"/>
    <w:rsid w:val="005E615D"/>
    <w:rsid w:val="005F1BF6"/>
    <w:rsid w:val="005F2706"/>
    <w:rsid w:val="005F3A5F"/>
    <w:rsid w:val="005F4947"/>
    <w:rsid w:val="005F54F6"/>
    <w:rsid w:val="0060048F"/>
    <w:rsid w:val="00602391"/>
    <w:rsid w:val="00602C8D"/>
    <w:rsid w:val="006036FE"/>
    <w:rsid w:val="00604DE7"/>
    <w:rsid w:val="0060534E"/>
    <w:rsid w:val="00612B42"/>
    <w:rsid w:val="00614115"/>
    <w:rsid w:val="006142A7"/>
    <w:rsid w:val="00614C25"/>
    <w:rsid w:val="006164CF"/>
    <w:rsid w:val="00617F9E"/>
    <w:rsid w:val="00617FAF"/>
    <w:rsid w:val="006205C2"/>
    <w:rsid w:val="0062295A"/>
    <w:rsid w:val="00622DDA"/>
    <w:rsid w:val="00630073"/>
    <w:rsid w:val="00631BF6"/>
    <w:rsid w:val="00635155"/>
    <w:rsid w:val="006372F7"/>
    <w:rsid w:val="006401EF"/>
    <w:rsid w:val="00640250"/>
    <w:rsid w:val="006402AE"/>
    <w:rsid w:val="00643415"/>
    <w:rsid w:val="00643732"/>
    <w:rsid w:val="0064572F"/>
    <w:rsid w:val="0065355F"/>
    <w:rsid w:val="00653EA1"/>
    <w:rsid w:val="006604F7"/>
    <w:rsid w:val="0066108B"/>
    <w:rsid w:val="0066299D"/>
    <w:rsid w:val="006667D4"/>
    <w:rsid w:val="00671ACE"/>
    <w:rsid w:val="00671E9D"/>
    <w:rsid w:val="006732F4"/>
    <w:rsid w:val="006739EB"/>
    <w:rsid w:val="0067635C"/>
    <w:rsid w:val="00677124"/>
    <w:rsid w:val="00680506"/>
    <w:rsid w:val="006828AB"/>
    <w:rsid w:val="006861D3"/>
    <w:rsid w:val="00687245"/>
    <w:rsid w:val="00691079"/>
    <w:rsid w:val="006948E6"/>
    <w:rsid w:val="006966D8"/>
    <w:rsid w:val="00697BF3"/>
    <w:rsid w:val="006A0DA3"/>
    <w:rsid w:val="006A19A5"/>
    <w:rsid w:val="006A212A"/>
    <w:rsid w:val="006A3250"/>
    <w:rsid w:val="006A40AA"/>
    <w:rsid w:val="006A5104"/>
    <w:rsid w:val="006A6206"/>
    <w:rsid w:val="006A7C16"/>
    <w:rsid w:val="006B016D"/>
    <w:rsid w:val="006B3602"/>
    <w:rsid w:val="006B7803"/>
    <w:rsid w:val="006B780E"/>
    <w:rsid w:val="006C0605"/>
    <w:rsid w:val="006C2409"/>
    <w:rsid w:val="006C30DE"/>
    <w:rsid w:val="006C6D1D"/>
    <w:rsid w:val="006C7502"/>
    <w:rsid w:val="006D4CCF"/>
    <w:rsid w:val="006D568E"/>
    <w:rsid w:val="006D5845"/>
    <w:rsid w:val="006D5EF8"/>
    <w:rsid w:val="006D65C0"/>
    <w:rsid w:val="006D6D41"/>
    <w:rsid w:val="006D74BC"/>
    <w:rsid w:val="006E1265"/>
    <w:rsid w:val="006E247B"/>
    <w:rsid w:val="006E3968"/>
    <w:rsid w:val="006E3EC3"/>
    <w:rsid w:val="006E4706"/>
    <w:rsid w:val="006E533E"/>
    <w:rsid w:val="006E54EA"/>
    <w:rsid w:val="006E620A"/>
    <w:rsid w:val="006E71E3"/>
    <w:rsid w:val="006E735D"/>
    <w:rsid w:val="006F3B7B"/>
    <w:rsid w:val="006F4BA4"/>
    <w:rsid w:val="006F4D46"/>
    <w:rsid w:val="007009B1"/>
    <w:rsid w:val="007039D8"/>
    <w:rsid w:val="00704E7B"/>
    <w:rsid w:val="00705D10"/>
    <w:rsid w:val="00705FD0"/>
    <w:rsid w:val="0070786C"/>
    <w:rsid w:val="00711B2B"/>
    <w:rsid w:val="0071385B"/>
    <w:rsid w:val="007140A2"/>
    <w:rsid w:val="00714448"/>
    <w:rsid w:val="00716DB6"/>
    <w:rsid w:val="0071711F"/>
    <w:rsid w:val="007205E9"/>
    <w:rsid w:val="00722E35"/>
    <w:rsid w:val="007243E5"/>
    <w:rsid w:val="00724987"/>
    <w:rsid w:val="00725061"/>
    <w:rsid w:val="007254A2"/>
    <w:rsid w:val="00725CCF"/>
    <w:rsid w:val="00726828"/>
    <w:rsid w:val="00731168"/>
    <w:rsid w:val="00732924"/>
    <w:rsid w:val="00734BBD"/>
    <w:rsid w:val="00735580"/>
    <w:rsid w:val="007359E8"/>
    <w:rsid w:val="00744355"/>
    <w:rsid w:val="007479E3"/>
    <w:rsid w:val="00753FBB"/>
    <w:rsid w:val="00754E46"/>
    <w:rsid w:val="00756314"/>
    <w:rsid w:val="0075707D"/>
    <w:rsid w:val="00762A50"/>
    <w:rsid w:val="00765DA2"/>
    <w:rsid w:val="00766BDB"/>
    <w:rsid w:val="00771CF4"/>
    <w:rsid w:val="00774012"/>
    <w:rsid w:val="00776202"/>
    <w:rsid w:val="00777447"/>
    <w:rsid w:val="00781F9A"/>
    <w:rsid w:val="007838B8"/>
    <w:rsid w:val="00783C73"/>
    <w:rsid w:val="00783F9D"/>
    <w:rsid w:val="0078422E"/>
    <w:rsid w:val="0078455C"/>
    <w:rsid w:val="007855BA"/>
    <w:rsid w:val="0079107D"/>
    <w:rsid w:val="00792F7E"/>
    <w:rsid w:val="00793767"/>
    <w:rsid w:val="00794782"/>
    <w:rsid w:val="007954E5"/>
    <w:rsid w:val="0079756F"/>
    <w:rsid w:val="007A0EB1"/>
    <w:rsid w:val="007A1A1B"/>
    <w:rsid w:val="007A1B5D"/>
    <w:rsid w:val="007A22B3"/>
    <w:rsid w:val="007A5EF4"/>
    <w:rsid w:val="007A7BB1"/>
    <w:rsid w:val="007B1E31"/>
    <w:rsid w:val="007B5276"/>
    <w:rsid w:val="007B78FF"/>
    <w:rsid w:val="007B7F5E"/>
    <w:rsid w:val="007C092F"/>
    <w:rsid w:val="007C488A"/>
    <w:rsid w:val="007C511D"/>
    <w:rsid w:val="007C5265"/>
    <w:rsid w:val="007C61A9"/>
    <w:rsid w:val="007C6483"/>
    <w:rsid w:val="007D038C"/>
    <w:rsid w:val="007D0DCA"/>
    <w:rsid w:val="007D2866"/>
    <w:rsid w:val="007D3BDD"/>
    <w:rsid w:val="007D706E"/>
    <w:rsid w:val="007D77D4"/>
    <w:rsid w:val="007E08A4"/>
    <w:rsid w:val="007E10F6"/>
    <w:rsid w:val="007E5AF4"/>
    <w:rsid w:val="007E6AAD"/>
    <w:rsid w:val="007E7782"/>
    <w:rsid w:val="007F464E"/>
    <w:rsid w:val="007F55F8"/>
    <w:rsid w:val="007F5897"/>
    <w:rsid w:val="007F5D94"/>
    <w:rsid w:val="00803B23"/>
    <w:rsid w:val="00805E49"/>
    <w:rsid w:val="00807D1B"/>
    <w:rsid w:val="00810588"/>
    <w:rsid w:val="00813730"/>
    <w:rsid w:val="00815C1F"/>
    <w:rsid w:val="00817EE6"/>
    <w:rsid w:val="00824A97"/>
    <w:rsid w:val="00825BE8"/>
    <w:rsid w:val="00827880"/>
    <w:rsid w:val="00827BFB"/>
    <w:rsid w:val="00831E60"/>
    <w:rsid w:val="00831F38"/>
    <w:rsid w:val="00835A5A"/>
    <w:rsid w:val="00835BFC"/>
    <w:rsid w:val="008368A3"/>
    <w:rsid w:val="008401B2"/>
    <w:rsid w:val="00841FB3"/>
    <w:rsid w:val="008440AB"/>
    <w:rsid w:val="00846359"/>
    <w:rsid w:val="00847DB1"/>
    <w:rsid w:val="00850225"/>
    <w:rsid w:val="008510D7"/>
    <w:rsid w:val="00851713"/>
    <w:rsid w:val="00851D62"/>
    <w:rsid w:val="008529F1"/>
    <w:rsid w:val="00854073"/>
    <w:rsid w:val="00855254"/>
    <w:rsid w:val="00856C96"/>
    <w:rsid w:val="008570C3"/>
    <w:rsid w:val="008603D3"/>
    <w:rsid w:val="008609E2"/>
    <w:rsid w:val="00863312"/>
    <w:rsid w:val="00863334"/>
    <w:rsid w:val="008646D5"/>
    <w:rsid w:val="00864920"/>
    <w:rsid w:val="00866132"/>
    <w:rsid w:val="00866F46"/>
    <w:rsid w:val="008746EE"/>
    <w:rsid w:val="00874CAF"/>
    <w:rsid w:val="00875F1F"/>
    <w:rsid w:val="008760BB"/>
    <w:rsid w:val="00876BDA"/>
    <w:rsid w:val="00877698"/>
    <w:rsid w:val="00882082"/>
    <w:rsid w:val="00882855"/>
    <w:rsid w:val="0088485A"/>
    <w:rsid w:val="00885B2B"/>
    <w:rsid w:val="00887430"/>
    <w:rsid w:val="00891C26"/>
    <w:rsid w:val="00892540"/>
    <w:rsid w:val="00892DC6"/>
    <w:rsid w:val="00893F22"/>
    <w:rsid w:val="00895D79"/>
    <w:rsid w:val="00897E2A"/>
    <w:rsid w:val="008A2E95"/>
    <w:rsid w:val="008A360E"/>
    <w:rsid w:val="008A38AF"/>
    <w:rsid w:val="008A3F86"/>
    <w:rsid w:val="008A4305"/>
    <w:rsid w:val="008A6013"/>
    <w:rsid w:val="008A6829"/>
    <w:rsid w:val="008A6999"/>
    <w:rsid w:val="008B20CD"/>
    <w:rsid w:val="008B20EA"/>
    <w:rsid w:val="008B40B6"/>
    <w:rsid w:val="008B6C79"/>
    <w:rsid w:val="008B7085"/>
    <w:rsid w:val="008B787A"/>
    <w:rsid w:val="008C2D40"/>
    <w:rsid w:val="008C2F0A"/>
    <w:rsid w:val="008C300C"/>
    <w:rsid w:val="008C3203"/>
    <w:rsid w:val="008C5D45"/>
    <w:rsid w:val="008C6EA8"/>
    <w:rsid w:val="008C78A1"/>
    <w:rsid w:val="008C7B05"/>
    <w:rsid w:val="008D02C0"/>
    <w:rsid w:val="008D3C19"/>
    <w:rsid w:val="008D438E"/>
    <w:rsid w:val="008E4A16"/>
    <w:rsid w:val="008E5B27"/>
    <w:rsid w:val="008E5ECB"/>
    <w:rsid w:val="008E6B46"/>
    <w:rsid w:val="008F142C"/>
    <w:rsid w:val="008F1D3D"/>
    <w:rsid w:val="008F4B20"/>
    <w:rsid w:val="008F4E3A"/>
    <w:rsid w:val="008F4F5D"/>
    <w:rsid w:val="008F51A0"/>
    <w:rsid w:val="008F5746"/>
    <w:rsid w:val="008F78C8"/>
    <w:rsid w:val="008F7EF1"/>
    <w:rsid w:val="00906BB1"/>
    <w:rsid w:val="00910CDB"/>
    <w:rsid w:val="0091112B"/>
    <w:rsid w:val="00911474"/>
    <w:rsid w:val="00911E64"/>
    <w:rsid w:val="009134F6"/>
    <w:rsid w:val="009164B6"/>
    <w:rsid w:val="00917217"/>
    <w:rsid w:val="00917418"/>
    <w:rsid w:val="009174B1"/>
    <w:rsid w:val="00920EAE"/>
    <w:rsid w:val="00922505"/>
    <w:rsid w:val="0092399A"/>
    <w:rsid w:val="00923D01"/>
    <w:rsid w:val="009259BC"/>
    <w:rsid w:val="009259CE"/>
    <w:rsid w:val="00926261"/>
    <w:rsid w:val="00931055"/>
    <w:rsid w:val="00932932"/>
    <w:rsid w:val="00933E31"/>
    <w:rsid w:val="00934155"/>
    <w:rsid w:val="009349DD"/>
    <w:rsid w:val="0093567B"/>
    <w:rsid w:val="00937C6C"/>
    <w:rsid w:val="0094128B"/>
    <w:rsid w:val="00941816"/>
    <w:rsid w:val="0094665F"/>
    <w:rsid w:val="00947792"/>
    <w:rsid w:val="00950BE9"/>
    <w:rsid w:val="009523CD"/>
    <w:rsid w:val="00953856"/>
    <w:rsid w:val="00953DAA"/>
    <w:rsid w:val="00953EC5"/>
    <w:rsid w:val="009549F8"/>
    <w:rsid w:val="00956E95"/>
    <w:rsid w:val="00960EBD"/>
    <w:rsid w:val="00963AAC"/>
    <w:rsid w:val="009650A3"/>
    <w:rsid w:val="00973DF2"/>
    <w:rsid w:val="0097479D"/>
    <w:rsid w:val="009749D4"/>
    <w:rsid w:val="009750BF"/>
    <w:rsid w:val="00977AD1"/>
    <w:rsid w:val="00980191"/>
    <w:rsid w:val="00980C71"/>
    <w:rsid w:val="00980FEE"/>
    <w:rsid w:val="0098277A"/>
    <w:rsid w:val="009831B4"/>
    <w:rsid w:val="0098365E"/>
    <w:rsid w:val="00984450"/>
    <w:rsid w:val="00984B34"/>
    <w:rsid w:val="009853EF"/>
    <w:rsid w:val="00985E5C"/>
    <w:rsid w:val="00986AC3"/>
    <w:rsid w:val="00990EE1"/>
    <w:rsid w:val="00991465"/>
    <w:rsid w:val="00992F0C"/>
    <w:rsid w:val="00993BEC"/>
    <w:rsid w:val="0099489C"/>
    <w:rsid w:val="00996955"/>
    <w:rsid w:val="009A260D"/>
    <w:rsid w:val="009A48D2"/>
    <w:rsid w:val="009A5457"/>
    <w:rsid w:val="009A6F6F"/>
    <w:rsid w:val="009A7069"/>
    <w:rsid w:val="009B042F"/>
    <w:rsid w:val="009B1553"/>
    <w:rsid w:val="009B287A"/>
    <w:rsid w:val="009B2C38"/>
    <w:rsid w:val="009B351B"/>
    <w:rsid w:val="009B3681"/>
    <w:rsid w:val="009B372E"/>
    <w:rsid w:val="009B517F"/>
    <w:rsid w:val="009C1B5D"/>
    <w:rsid w:val="009C1BA3"/>
    <w:rsid w:val="009C4E70"/>
    <w:rsid w:val="009C6058"/>
    <w:rsid w:val="009D4505"/>
    <w:rsid w:val="009D49C0"/>
    <w:rsid w:val="009D5A8F"/>
    <w:rsid w:val="009E3777"/>
    <w:rsid w:val="009E5895"/>
    <w:rsid w:val="009E5F9E"/>
    <w:rsid w:val="009E6044"/>
    <w:rsid w:val="009F05D0"/>
    <w:rsid w:val="009F0FC9"/>
    <w:rsid w:val="009F2952"/>
    <w:rsid w:val="009F4EFF"/>
    <w:rsid w:val="00A00F41"/>
    <w:rsid w:val="00A01517"/>
    <w:rsid w:val="00A01F42"/>
    <w:rsid w:val="00A036DB"/>
    <w:rsid w:val="00A05AAE"/>
    <w:rsid w:val="00A068A3"/>
    <w:rsid w:val="00A13682"/>
    <w:rsid w:val="00A14679"/>
    <w:rsid w:val="00A16475"/>
    <w:rsid w:val="00A1695A"/>
    <w:rsid w:val="00A17037"/>
    <w:rsid w:val="00A170BF"/>
    <w:rsid w:val="00A2004B"/>
    <w:rsid w:val="00A20B5D"/>
    <w:rsid w:val="00A2115B"/>
    <w:rsid w:val="00A211C4"/>
    <w:rsid w:val="00A228AE"/>
    <w:rsid w:val="00A2428E"/>
    <w:rsid w:val="00A24E1C"/>
    <w:rsid w:val="00A266BB"/>
    <w:rsid w:val="00A26B4C"/>
    <w:rsid w:val="00A30FE4"/>
    <w:rsid w:val="00A33AEB"/>
    <w:rsid w:val="00A33FBF"/>
    <w:rsid w:val="00A34D5E"/>
    <w:rsid w:val="00A3508B"/>
    <w:rsid w:val="00A36329"/>
    <w:rsid w:val="00A46154"/>
    <w:rsid w:val="00A46BC1"/>
    <w:rsid w:val="00A5203C"/>
    <w:rsid w:val="00A52F51"/>
    <w:rsid w:val="00A5559E"/>
    <w:rsid w:val="00A574EC"/>
    <w:rsid w:val="00A61C54"/>
    <w:rsid w:val="00A626CC"/>
    <w:rsid w:val="00A63C0E"/>
    <w:rsid w:val="00A649B4"/>
    <w:rsid w:val="00A67E26"/>
    <w:rsid w:val="00A70487"/>
    <w:rsid w:val="00A7078F"/>
    <w:rsid w:val="00A7273B"/>
    <w:rsid w:val="00A74947"/>
    <w:rsid w:val="00A74E10"/>
    <w:rsid w:val="00A75109"/>
    <w:rsid w:val="00A76507"/>
    <w:rsid w:val="00A76A26"/>
    <w:rsid w:val="00A76BEF"/>
    <w:rsid w:val="00A77AD3"/>
    <w:rsid w:val="00A803C7"/>
    <w:rsid w:val="00A82B2B"/>
    <w:rsid w:val="00A82D8E"/>
    <w:rsid w:val="00A872A7"/>
    <w:rsid w:val="00A90B72"/>
    <w:rsid w:val="00A90F50"/>
    <w:rsid w:val="00A968CD"/>
    <w:rsid w:val="00A97EDE"/>
    <w:rsid w:val="00AA476F"/>
    <w:rsid w:val="00AA717D"/>
    <w:rsid w:val="00AB0FF2"/>
    <w:rsid w:val="00AB2F52"/>
    <w:rsid w:val="00AB50D5"/>
    <w:rsid w:val="00AB5C79"/>
    <w:rsid w:val="00AB6A58"/>
    <w:rsid w:val="00AB71F2"/>
    <w:rsid w:val="00AC086D"/>
    <w:rsid w:val="00AC0BC8"/>
    <w:rsid w:val="00AC19C4"/>
    <w:rsid w:val="00AC3173"/>
    <w:rsid w:val="00AC501E"/>
    <w:rsid w:val="00AC7041"/>
    <w:rsid w:val="00AD0A95"/>
    <w:rsid w:val="00AD1AE8"/>
    <w:rsid w:val="00AD1D00"/>
    <w:rsid w:val="00AD1FD3"/>
    <w:rsid w:val="00AD38C5"/>
    <w:rsid w:val="00AD3B50"/>
    <w:rsid w:val="00AD7158"/>
    <w:rsid w:val="00AE2C0E"/>
    <w:rsid w:val="00AE2D33"/>
    <w:rsid w:val="00AE380B"/>
    <w:rsid w:val="00AE540A"/>
    <w:rsid w:val="00AE5564"/>
    <w:rsid w:val="00AF189B"/>
    <w:rsid w:val="00AF3B91"/>
    <w:rsid w:val="00AF4EA7"/>
    <w:rsid w:val="00AF56B9"/>
    <w:rsid w:val="00B016BF"/>
    <w:rsid w:val="00B022FC"/>
    <w:rsid w:val="00B03409"/>
    <w:rsid w:val="00B064D3"/>
    <w:rsid w:val="00B07184"/>
    <w:rsid w:val="00B07DF8"/>
    <w:rsid w:val="00B11688"/>
    <w:rsid w:val="00B124FC"/>
    <w:rsid w:val="00B12AE4"/>
    <w:rsid w:val="00B142C3"/>
    <w:rsid w:val="00B17D8E"/>
    <w:rsid w:val="00B21C50"/>
    <w:rsid w:val="00B22CD7"/>
    <w:rsid w:val="00B274A5"/>
    <w:rsid w:val="00B30440"/>
    <w:rsid w:val="00B30A87"/>
    <w:rsid w:val="00B33BEA"/>
    <w:rsid w:val="00B33DC7"/>
    <w:rsid w:val="00B362CC"/>
    <w:rsid w:val="00B36D30"/>
    <w:rsid w:val="00B4099C"/>
    <w:rsid w:val="00B41180"/>
    <w:rsid w:val="00B418B1"/>
    <w:rsid w:val="00B41BD7"/>
    <w:rsid w:val="00B42E51"/>
    <w:rsid w:val="00B433C7"/>
    <w:rsid w:val="00B45273"/>
    <w:rsid w:val="00B45608"/>
    <w:rsid w:val="00B456EA"/>
    <w:rsid w:val="00B468D2"/>
    <w:rsid w:val="00B47336"/>
    <w:rsid w:val="00B50042"/>
    <w:rsid w:val="00B518F0"/>
    <w:rsid w:val="00B5286B"/>
    <w:rsid w:val="00B530CF"/>
    <w:rsid w:val="00B55E7E"/>
    <w:rsid w:val="00B605DE"/>
    <w:rsid w:val="00B62043"/>
    <w:rsid w:val="00B62552"/>
    <w:rsid w:val="00B629B8"/>
    <w:rsid w:val="00B629E4"/>
    <w:rsid w:val="00B63FB5"/>
    <w:rsid w:val="00B64E35"/>
    <w:rsid w:val="00B65E30"/>
    <w:rsid w:val="00B66388"/>
    <w:rsid w:val="00B66D13"/>
    <w:rsid w:val="00B66E8C"/>
    <w:rsid w:val="00B66EC8"/>
    <w:rsid w:val="00B67378"/>
    <w:rsid w:val="00B7471C"/>
    <w:rsid w:val="00B74FCF"/>
    <w:rsid w:val="00B75392"/>
    <w:rsid w:val="00B75CFF"/>
    <w:rsid w:val="00B7796B"/>
    <w:rsid w:val="00B814C5"/>
    <w:rsid w:val="00B82369"/>
    <w:rsid w:val="00B85105"/>
    <w:rsid w:val="00B86FED"/>
    <w:rsid w:val="00B91772"/>
    <w:rsid w:val="00B91CBE"/>
    <w:rsid w:val="00B92D34"/>
    <w:rsid w:val="00B92D66"/>
    <w:rsid w:val="00BA04C4"/>
    <w:rsid w:val="00BA293D"/>
    <w:rsid w:val="00BA2F20"/>
    <w:rsid w:val="00BA4EC9"/>
    <w:rsid w:val="00BA6AF3"/>
    <w:rsid w:val="00BA7EED"/>
    <w:rsid w:val="00BB1DB8"/>
    <w:rsid w:val="00BB2053"/>
    <w:rsid w:val="00BB3028"/>
    <w:rsid w:val="00BB3188"/>
    <w:rsid w:val="00BB5047"/>
    <w:rsid w:val="00BB6CA9"/>
    <w:rsid w:val="00BC0A60"/>
    <w:rsid w:val="00BC0AF4"/>
    <w:rsid w:val="00BC27ED"/>
    <w:rsid w:val="00BD1581"/>
    <w:rsid w:val="00BD158D"/>
    <w:rsid w:val="00BD3C36"/>
    <w:rsid w:val="00BD7918"/>
    <w:rsid w:val="00BD79A2"/>
    <w:rsid w:val="00BD7F9D"/>
    <w:rsid w:val="00BE2993"/>
    <w:rsid w:val="00BE2CFB"/>
    <w:rsid w:val="00BE51B3"/>
    <w:rsid w:val="00BE7D03"/>
    <w:rsid w:val="00BE7FEC"/>
    <w:rsid w:val="00BF1194"/>
    <w:rsid w:val="00BF33E5"/>
    <w:rsid w:val="00BF7927"/>
    <w:rsid w:val="00BF7EAF"/>
    <w:rsid w:val="00C0199F"/>
    <w:rsid w:val="00C10029"/>
    <w:rsid w:val="00C101D7"/>
    <w:rsid w:val="00C12F67"/>
    <w:rsid w:val="00C12F70"/>
    <w:rsid w:val="00C135AE"/>
    <w:rsid w:val="00C16236"/>
    <w:rsid w:val="00C1706E"/>
    <w:rsid w:val="00C228B8"/>
    <w:rsid w:val="00C24022"/>
    <w:rsid w:val="00C25896"/>
    <w:rsid w:val="00C26D19"/>
    <w:rsid w:val="00C27A90"/>
    <w:rsid w:val="00C27E95"/>
    <w:rsid w:val="00C3188E"/>
    <w:rsid w:val="00C31DB7"/>
    <w:rsid w:val="00C32950"/>
    <w:rsid w:val="00C3480B"/>
    <w:rsid w:val="00C35549"/>
    <w:rsid w:val="00C369E6"/>
    <w:rsid w:val="00C37230"/>
    <w:rsid w:val="00C37EB0"/>
    <w:rsid w:val="00C40522"/>
    <w:rsid w:val="00C4199B"/>
    <w:rsid w:val="00C435AF"/>
    <w:rsid w:val="00C45BB3"/>
    <w:rsid w:val="00C45BEF"/>
    <w:rsid w:val="00C46431"/>
    <w:rsid w:val="00C51C82"/>
    <w:rsid w:val="00C5372F"/>
    <w:rsid w:val="00C555B4"/>
    <w:rsid w:val="00C563A2"/>
    <w:rsid w:val="00C5693A"/>
    <w:rsid w:val="00C57742"/>
    <w:rsid w:val="00C608B2"/>
    <w:rsid w:val="00C6198A"/>
    <w:rsid w:val="00C65405"/>
    <w:rsid w:val="00C65736"/>
    <w:rsid w:val="00C65AAD"/>
    <w:rsid w:val="00C65B0C"/>
    <w:rsid w:val="00C66373"/>
    <w:rsid w:val="00C67CA3"/>
    <w:rsid w:val="00C71398"/>
    <w:rsid w:val="00C72BFA"/>
    <w:rsid w:val="00C73EE5"/>
    <w:rsid w:val="00C76277"/>
    <w:rsid w:val="00C80939"/>
    <w:rsid w:val="00C80EE2"/>
    <w:rsid w:val="00C8217C"/>
    <w:rsid w:val="00C82407"/>
    <w:rsid w:val="00C8394B"/>
    <w:rsid w:val="00C84102"/>
    <w:rsid w:val="00C90276"/>
    <w:rsid w:val="00C92D43"/>
    <w:rsid w:val="00C9321A"/>
    <w:rsid w:val="00C93B57"/>
    <w:rsid w:val="00C9513B"/>
    <w:rsid w:val="00C957E9"/>
    <w:rsid w:val="00C9690E"/>
    <w:rsid w:val="00CA091A"/>
    <w:rsid w:val="00CA2A8F"/>
    <w:rsid w:val="00CA3930"/>
    <w:rsid w:val="00CA427F"/>
    <w:rsid w:val="00CA612F"/>
    <w:rsid w:val="00CA6FAD"/>
    <w:rsid w:val="00CB1C83"/>
    <w:rsid w:val="00CB286A"/>
    <w:rsid w:val="00CB2EDA"/>
    <w:rsid w:val="00CB6B92"/>
    <w:rsid w:val="00CC035E"/>
    <w:rsid w:val="00CC390B"/>
    <w:rsid w:val="00CC7B81"/>
    <w:rsid w:val="00CD07CC"/>
    <w:rsid w:val="00CD2358"/>
    <w:rsid w:val="00CD23CB"/>
    <w:rsid w:val="00CD28F3"/>
    <w:rsid w:val="00CD290A"/>
    <w:rsid w:val="00CD5812"/>
    <w:rsid w:val="00CE1B99"/>
    <w:rsid w:val="00CE412A"/>
    <w:rsid w:val="00CE42A8"/>
    <w:rsid w:val="00CE4B8C"/>
    <w:rsid w:val="00CE5674"/>
    <w:rsid w:val="00CE64F5"/>
    <w:rsid w:val="00CE6638"/>
    <w:rsid w:val="00CF03B0"/>
    <w:rsid w:val="00CF0518"/>
    <w:rsid w:val="00CF07B4"/>
    <w:rsid w:val="00CF1188"/>
    <w:rsid w:val="00CF3BF9"/>
    <w:rsid w:val="00CF3C8E"/>
    <w:rsid w:val="00CF514B"/>
    <w:rsid w:val="00D005CB"/>
    <w:rsid w:val="00D023CC"/>
    <w:rsid w:val="00D03C5E"/>
    <w:rsid w:val="00D05049"/>
    <w:rsid w:val="00D05AA5"/>
    <w:rsid w:val="00D05E54"/>
    <w:rsid w:val="00D126EA"/>
    <w:rsid w:val="00D12DBB"/>
    <w:rsid w:val="00D1420D"/>
    <w:rsid w:val="00D14C04"/>
    <w:rsid w:val="00D17377"/>
    <w:rsid w:val="00D2079D"/>
    <w:rsid w:val="00D21501"/>
    <w:rsid w:val="00D2248D"/>
    <w:rsid w:val="00D23091"/>
    <w:rsid w:val="00D23EA3"/>
    <w:rsid w:val="00D247B9"/>
    <w:rsid w:val="00D250AB"/>
    <w:rsid w:val="00D25187"/>
    <w:rsid w:val="00D27E59"/>
    <w:rsid w:val="00D30097"/>
    <w:rsid w:val="00D30B7A"/>
    <w:rsid w:val="00D32B26"/>
    <w:rsid w:val="00D32C5C"/>
    <w:rsid w:val="00D33B99"/>
    <w:rsid w:val="00D34D67"/>
    <w:rsid w:val="00D3588F"/>
    <w:rsid w:val="00D35930"/>
    <w:rsid w:val="00D35A8F"/>
    <w:rsid w:val="00D3764A"/>
    <w:rsid w:val="00D41E10"/>
    <w:rsid w:val="00D42118"/>
    <w:rsid w:val="00D43D79"/>
    <w:rsid w:val="00D448D8"/>
    <w:rsid w:val="00D458DE"/>
    <w:rsid w:val="00D45D06"/>
    <w:rsid w:val="00D462F9"/>
    <w:rsid w:val="00D46598"/>
    <w:rsid w:val="00D478B0"/>
    <w:rsid w:val="00D5061C"/>
    <w:rsid w:val="00D5153E"/>
    <w:rsid w:val="00D60794"/>
    <w:rsid w:val="00D60DF3"/>
    <w:rsid w:val="00D61E87"/>
    <w:rsid w:val="00D651C5"/>
    <w:rsid w:val="00D65AEE"/>
    <w:rsid w:val="00D6697B"/>
    <w:rsid w:val="00D6749C"/>
    <w:rsid w:val="00D708B7"/>
    <w:rsid w:val="00D728E2"/>
    <w:rsid w:val="00D75813"/>
    <w:rsid w:val="00D76A3E"/>
    <w:rsid w:val="00D77E51"/>
    <w:rsid w:val="00D80912"/>
    <w:rsid w:val="00D813D6"/>
    <w:rsid w:val="00D82964"/>
    <w:rsid w:val="00D86B1D"/>
    <w:rsid w:val="00D87782"/>
    <w:rsid w:val="00D87D81"/>
    <w:rsid w:val="00D90436"/>
    <w:rsid w:val="00D90BB8"/>
    <w:rsid w:val="00D91112"/>
    <w:rsid w:val="00D91CBE"/>
    <w:rsid w:val="00D920CD"/>
    <w:rsid w:val="00D949E2"/>
    <w:rsid w:val="00D94E5B"/>
    <w:rsid w:val="00D9581D"/>
    <w:rsid w:val="00D96DC5"/>
    <w:rsid w:val="00D9753C"/>
    <w:rsid w:val="00D97B76"/>
    <w:rsid w:val="00DA1231"/>
    <w:rsid w:val="00DA204C"/>
    <w:rsid w:val="00DA34B7"/>
    <w:rsid w:val="00DA3B85"/>
    <w:rsid w:val="00DA51F9"/>
    <w:rsid w:val="00DA622F"/>
    <w:rsid w:val="00DA7939"/>
    <w:rsid w:val="00DA7BB2"/>
    <w:rsid w:val="00DA7DDC"/>
    <w:rsid w:val="00DB2345"/>
    <w:rsid w:val="00DB2A35"/>
    <w:rsid w:val="00DB4982"/>
    <w:rsid w:val="00DB517E"/>
    <w:rsid w:val="00DB5C50"/>
    <w:rsid w:val="00DB6EA2"/>
    <w:rsid w:val="00DC03CE"/>
    <w:rsid w:val="00DC0511"/>
    <w:rsid w:val="00DC2821"/>
    <w:rsid w:val="00DC7E91"/>
    <w:rsid w:val="00DD01CC"/>
    <w:rsid w:val="00DD0357"/>
    <w:rsid w:val="00DD08FF"/>
    <w:rsid w:val="00DD4CB7"/>
    <w:rsid w:val="00DD5C40"/>
    <w:rsid w:val="00DD6295"/>
    <w:rsid w:val="00DE20BC"/>
    <w:rsid w:val="00DE2421"/>
    <w:rsid w:val="00DE2EC6"/>
    <w:rsid w:val="00DE301B"/>
    <w:rsid w:val="00DE3417"/>
    <w:rsid w:val="00DE5BB1"/>
    <w:rsid w:val="00DE64E5"/>
    <w:rsid w:val="00DE6863"/>
    <w:rsid w:val="00DF24B8"/>
    <w:rsid w:val="00DF3148"/>
    <w:rsid w:val="00DF491F"/>
    <w:rsid w:val="00DF6A6C"/>
    <w:rsid w:val="00DF6D40"/>
    <w:rsid w:val="00DF7269"/>
    <w:rsid w:val="00E003A5"/>
    <w:rsid w:val="00E0078F"/>
    <w:rsid w:val="00E0340B"/>
    <w:rsid w:val="00E03ABF"/>
    <w:rsid w:val="00E03BF1"/>
    <w:rsid w:val="00E044FC"/>
    <w:rsid w:val="00E0488C"/>
    <w:rsid w:val="00E070B2"/>
    <w:rsid w:val="00E10F8E"/>
    <w:rsid w:val="00E111C7"/>
    <w:rsid w:val="00E12191"/>
    <w:rsid w:val="00E155E3"/>
    <w:rsid w:val="00E15966"/>
    <w:rsid w:val="00E15F94"/>
    <w:rsid w:val="00E167E9"/>
    <w:rsid w:val="00E16D8F"/>
    <w:rsid w:val="00E1716A"/>
    <w:rsid w:val="00E173D9"/>
    <w:rsid w:val="00E207A8"/>
    <w:rsid w:val="00E20FCA"/>
    <w:rsid w:val="00E21445"/>
    <w:rsid w:val="00E21DD8"/>
    <w:rsid w:val="00E2392F"/>
    <w:rsid w:val="00E24300"/>
    <w:rsid w:val="00E24F05"/>
    <w:rsid w:val="00E26CF7"/>
    <w:rsid w:val="00E27086"/>
    <w:rsid w:val="00E31259"/>
    <w:rsid w:val="00E3248E"/>
    <w:rsid w:val="00E3783F"/>
    <w:rsid w:val="00E42361"/>
    <w:rsid w:val="00E42AE0"/>
    <w:rsid w:val="00E515C6"/>
    <w:rsid w:val="00E52033"/>
    <w:rsid w:val="00E53591"/>
    <w:rsid w:val="00E54233"/>
    <w:rsid w:val="00E5527B"/>
    <w:rsid w:val="00E57D3A"/>
    <w:rsid w:val="00E60CF4"/>
    <w:rsid w:val="00E61C9F"/>
    <w:rsid w:val="00E62A30"/>
    <w:rsid w:val="00E63433"/>
    <w:rsid w:val="00E65C9C"/>
    <w:rsid w:val="00E673A8"/>
    <w:rsid w:val="00E673E3"/>
    <w:rsid w:val="00E71AE8"/>
    <w:rsid w:val="00E73342"/>
    <w:rsid w:val="00E75E60"/>
    <w:rsid w:val="00E76D0C"/>
    <w:rsid w:val="00E76EAD"/>
    <w:rsid w:val="00E777CE"/>
    <w:rsid w:val="00E77846"/>
    <w:rsid w:val="00E77B73"/>
    <w:rsid w:val="00E77E24"/>
    <w:rsid w:val="00E80CD5"/>
    <w:rsid w:val="00E8264D"/>
    <w:rsid w:val="00E82F1C"/>
    <w:rsid w:val="00E837FB"/>
    <w:rsid w:val="00E83A7F"/>
    <w:rsid w:val="00E84DD0"/>
    <w:rsid w:val="00E86012"/>
    <w:rsid w:val="00E86C51"/>
    <w:rsid w:val="00E86F22"/>
    <w:rsid w:val="00E90634"/>
    <w:rsid w:val="00E926C3"/>
    <w:rsid w:val="00E9333C"/>
    <w:rsid w:val="00E93AB6"/>
    <w:rsid w:val="00E966E0"/>
    <w:rsid w:val="00EA2D40"/>
    <w:rsid w:val="00EA3A53"/>
    <w:rsid w:val="00EA610D"/>
    <w:rsid w:val="00EA7556"/>
    <w:rsid w:val="00EB64DE"/>
    <w:rsid w:val="00EC0312"/>
    <w:rsid w:val="00EC0E64"/>
    <w:rsid w:val="00EC10F7"/>
    <w:rsid w:val="00EC324B"/>
    <w:rsid w:val="00EC33A2"/>
    <w:rsid w:val="00EC40D6"/>
    <w:rsid w:val="00EC4299"/>
    <w:rsid w:val="00EC738E"/>
    <w:rsid w:val="00ED65AB"/>
    <w:rsid w:val="00ED71D2"/>
    <w:rsid w:val="00ED7757"/>
    <w:rsid w:val="00EE038E"/>
    <w:rsid w:val="00EE4758"/>
    <w:rsid w:val="00EE5C2C"/>
    <w:rsid w:val="00EE6BC8"/>
    <w:rsid w:val="00EF12F8"/>
    <w:rsid w:val="00EF1CB4"/>
    <w:rsid w:val="00EF4562"/>
    <w:rsid w:val="00EF6009"/>
    <w:rsid w:val="00EF6DA3"/>
    <w:rsid w:val="00EF6DF8"/>
    <w:rsid w:val="00EF7A8B"/>
    <w:rsid w:val="00EF7EFF"/>
    <w:rsid w:val="00F00D1C"/>
    <w:rsid w:val="00F0200F"/>
    <w:rsid w:val="00F032C5"/>
    <w:rsid w:val="00F03388"/>
    <w:rsid w:val="00F03780"/>
    <w:rsid w:val="00F07727"/>
    <w:rsid w:val="00F07AC1"/>
    <w:rsid w:val="00F10754"/>
    <w:rsid w:val="00F13074"/>
    <w:rsid w:val="00F13228"/>
    <w:rsid w:val="00F1555D"/>
    <w:rsid w:val="00F2186A"/>
    <w:rsid w:val="00F21873"/>
    <w:rsid w:val="00F23431"/>
    <w:rsid w:val="00F2412F"/>
    <w:rsid w:val="00F261A3"/>
    <w:rsid w:val="00F30E47"/>
    <w:rsid w:val="00F31575"/>
    <w:rsid w:val="00F31D66"/>
    <w:rsid w:val="00F32AFB"/>
    <w:rsid w:val="00F34A63"/>
    <w:rsid w:val="00F34DD8"/>
    <w:rsid w:val="00F36505"/>
    <w:rsid w:val="00F41451"/>
    <w:rsid w:val="00F44BA4"/>
    <w:rsid w:val="00F44E40"/>
    <w:rsid w:val="00F50538"/>
    <w:rsid w:val="00F52677"/>
    <w:rsid w:val="00F528B5"/>
    <w:rsid w:val="00F5350C"/>
    <w:rsid w:val="00F54778"/>
    <w:rsid w:val="00F55DBA"/>
    <w:rsid w:val="00F563DA"/>
    <w:rsid w:val="00F56439"/>
    <w:rsid w:val="00F60BED"/>
    <w:rsid w:val="00F60F18"/>
    <w:rsid w:val="00F61537"/>
    <w:rsid w:val="00F61C1F"/>
    <w:rsid w:val="00F61FDE"/>
    <w:rsid w:val="00F62482"/>
    <w:rsid w:val="00F64A00"/>
    <w:rsid w:val="00F652F7"/>
    <w:rsid w:val="00F70982"/>
    <w:rsid w:val="00F72696"/>
    <w:rsid w:val="00F728C3"/>
    <w:rsid w:val="00F72FDF"/>
    <w:rsid w:val="00F744D8"/>
    <w:rsid w:val="00F76A32"/>
    <w:rsid w:val="00F77E30"/>
    <w:rsid w:val="00F80197"/>
    <w:rsid w:val="00F81107"/>
    <w:rsid w:val="00F813CE"/>
    <w:rsid w:val="00F8170A"/>
    <w:rsid w:val="00F82D66"/>
    <w:rsid w:val="00F84747"/>
    <w:rsid w:val="00F862B7"/>
    <w:rsid w:val="00F86BC0"/>
    <w:rsid w:val="00F87D6C"/>
    <w:rsid w:val="00F918FB"/>
    <w:rsid w:val="00F91ADA"/>
    <w:rsid w:val="00F91B91"/>
    <w:rsid w:val="00F921D8"/>
    <w:rsid w:val="00F92233"/>
    <w:rsid w:val="00F92F40"/>
    <w:rsid w:val="00F9365B"/>
    <w:rsid w:val="00F93DAA"/>
    <w:rsid w:val="00F9443C"/>
    <w:rsid w:val="00F94720"/>
    <w:rsid w:val="00F94814"/>
    <w:rsid w:val="00F95DC8"/>
    <w:rsid w:val="00F962D6"/>
    <w:rsid w:val="00FA1ADB"/>
    <w:rsid w:val="00FA2242"/>
    <w:rsid w:val="00FA25D3"/>
    <w:rsid w:val="00FA5E42"/>
    <w:rsid w:val="00FA6373"/>
    <w:rsid w:val="00FA7DBC"/>
    <w:rsid w:val="00FB0D63"/>
    <w:rsid w:val="00FB2E2C"/>
    <w:rsid w:val="00FB5351"/>
    <w:rsid w:val="00FB5F1C"/>
    <w:rsid w:val="00FC112B"/>
    <w:rsid w:val="00FC13A1"/>
    <w:rsid w:val="00FC378A"/>
    <w:rsid w:val="00FC44EB"/>
    <w:rsid w:val="00FC5305"/>
    <w:rsid w:val="00FC5C23"/>
    <w:rsid w:val="00FC6920"/>
    <w:rsid w:val="00FD0A49"/>
    <w:rsid w:val="00FD0D2A"/>
    <w:rsid w:val="00FD266F"/>
    <w:rsid w:val="00FD3789"/>
    <w:rsid w:val="00FD45E3"/>
    <w:rsid w:val="00FD4849"/>
    <w:rsid w:val="00FD590D"/>
    <w:rsid w:val="00FD6642"/>
    <w:rsid w:val="00FD797C"/>
    <w:rsid w:val="00FE16F1"/>
    <w:rsid w:val="00FE76CE"/>
    <w:rsid w:val="00FE7813"/>
    <w:rsid w:val="00FF30E9"/>
    <w:rsid w:val="00FF505E"/>
    <w:rsid w:val="00FF56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26CA1F"/>
  <w15:docId w15:val="{D926EAE4-34CE-4BCA-81B4-A032EE6F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E8C"/>
    <w:pPr>
      <w:widowControl w:val="0"/>
      <w:autoSpaceDE w:val="0"/>
      <w:autoSpaceDN w:val="0"/>
      <w:adjustRightInd w:val="0"/>
    </w:pPr>
    <w:rPr>
      <w:sz w:val="24"/>
      <w:szCs w:val="24"/>
    </w:rPr>
  </w:style>
  <w:style w:type="paragraph" w:styleId="Heading1">
    <w:name w:val="heading 1"/>
    <w:basedOn w:val="Normal"/>
    <w:next w:val="Normal"/>
    <w:qFormat/>
    <w:locked/>
    <w:rsid w:val="006D5845"/>
    <w:pPr>
      <w:keepNext/>
      <w:widowControl/>
      <w:autoSpaceDE/>
      <w:autoSpaceDN/>
      <w:adjustRightInd/>
      <w:outlineLvl w:val="0"/>
    </w:pPr>
    <w:rPr>
      <w:b/>
      <w:bCs/>
      <w:i/>
      <w:i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B372E"/>
    <w:rPr>
      <w:rFonts w:ascii="Tahoma" w:hAnsi="Tahoma" w:cs="Tahoma"/>
      <w:sz w:val="16"/>
      <w:szCs w:val="16"/>
    </w:rPr>
  </w:style>
  <w:style w:type="character" w:customStyle="1" w:styleId="BalloonTextChar">
    <w:name w:val="Balloon Text Char"/>
    <w:link w:val="BalloonText"/>
    <w:semiHidden/>
    <w:locked/>
    <w:rsid w:val="00B66E8C"/>
    <w:rPr>
      <w:rFonts w:ascii="Tahoma" w:hAnsi="Tahoma" w:cs="Tahoma"/>
      <w:sz w:val="16"/>
      <w:szCs w:val="16"/>
    </w:rPr>
  </w:style>
  <w:style w:type="paragraph" w:styleId="BodyText2">
    <w:name w:val="Body Text 2"/>
    <w:basedOn w:val="Normal"/>
    <w:link w:val="BodyText2Char"/>
    <w:rsid w:val="00590982"/>
    <w:pPr>
      <w:widowControl/>
      <w:autoSpaceDE/>
      <w:autoSpaceDN/>
      <w:adjustRightInd/>
    </w:pPr>
    <w:rPr>
      <w:sz w:val="28"/>
      <w:szCs w:val="28"/>
      <w:lang w:eastAsia="en-US"/>
    </w:rPr>
  </w:style>
  <w:style w:type="character" w:customStyle="1" w:styleId="BodyText2Char">
    <w:name w:val="Body Text 2 Char"/>
    <w:link w:val="BodyText2"/>
    <w:semiHidden/>
    <w:locked/>
    <w:rsid w:val="00B66E8C"/>
    <w:rPr>
      <w:rFonts w:cs="Times New Roman"/>
      <w:sz w:val="20"/>
      <w:szCs w:val="20"/>
    </w:rPr>
  </w:style>
  <w:style w:type="paragraph" w:styleId="BodyText">
    <w:name w:val="Body Text"/>
    <w:basedOn w:val="Normal"/>
    <w:link w:val="BodyTextChar"/>
    <w:rsid w:val="00107C23"/>
    <w:pPr>
      <w:spacing w:after="120"/>
    </w:pPr>
  </w:style>
  <w:style w:type="character" w:customStyle="1" w:styleId="BodyTextChar">
    <w:name w:val="Body Text Char"/>
    <w:link w:val="BodyText"/>
    <w:locked/>
    <w:rsid w:val="00107C23"/>
    <w:rPr>
      <w:rFonts w:cs="Times New Roman"/>
      <w:sz w:val="20"/>
      <w:szCs w:val="20"/>
    </w:rPr>
  </w:style>
  <w:style w:type="paragraph" w:customStyle="1" w:styleId="1">
    <w:name w:val="Редакция1"/>
    <w:hidden/>
    <w:semiHidden/>
    <w:rsid w:val="00BE51B3"/>
    <w:rPr>
      <w:sz w:val="24"/>
      <w:szCs w:val="24"/>
    </w:rPr>
  </w:style>
  <w:style w:type="paragraph" w:styleId="Footer">
    <w:name w:val="footer"/>
    <w:basedOn w:val="Normal"/>
    <w:link w:val="FooterChar"/>
    <w:uiPriority w:val="99"/>
    <w:rsid w:val="00AC7041"/>
    <w:pPr>
      <w:tabs>
        <w:tab w:val="center" w:pos="4536"/>
        <w:tab w:val="right" w:pos="9072"/>
      </w:tabs>
    </w:pPr>
  </w:style>
  <w:style w:type="character" w:styleId="PageNumber">
    <w:name w:val="page number"/>
    <w:basedOn w:val="DefaultParagraphFont"/>
    <w:rsid w:val="00AC7041"/>
  </w:style>
  <w:style w:type="paragraph" w:styleId="Title">
    <w:name w:val="Title"/>
    <w:basedOn w:val="Normal"/>
    <w:qFormat/>
    <w:locked/>
    <w:rsid w:val="006D5845"/>
    <w:pPr>
      <w:widowControl/>
      <w:autoSpaceDE/>
      <w:autoSpaceDN/>
      <w:adjustRightInd/>
      <w:jc w:val="center"/>
    </w:pPr>
    <w:rPr>
      <w:sz w:val="36"/>
      <w:lang w:eastAsia="en-US"/>
    </w:rPr>
  </w:style>
  <w:style w:type="paragraph" w:styleId="Header">
    <w:name w:val="header"/>
    <w:basedOn w:val="Normal"/>
    <w:link w:val="HeaderChar"/>
    <w:uiPriority w:val="99"/>
    <w:rsid w:val="006D5845"/>
    <w:pPr>
      <w:tabs>
        <w:tab w:val="center" w:pos="4536"/>
        <w:tab w:val="right" w:pos="9072"/>
      </w:tabs>
    </w:pPr>
  </w:style>
  <w:style w:type="character" w:customStyle="1" w:styleId="FooterChar">
    <w:name w:val="Footer Char"/>
    <w:link w:val="Footer"/>
    <w:uiPriority w:val="99"/>
    <w:locked/>
    <w:rsid w:val="00640250"/>
  </w:style>
  <w:style w:type="paragraph" w:customStyle="1" w:styleId="10">
    <w:name w:val="Списък на абзаци1"/>
    <w:basedOn w:val="Normal"/>
    <w:rsid w:val="00640250"/>
    <w:pPr>
      <w:widowControl/>
      <w:autoSpaceDE/>
      <w:autoSpaceDN/>
      <w:adjustRightInd/>
      <w:ind w:left="720"/>
    </w:pPr>
    <w:rPr>
      <w:rFonts w:ascii="Garamond" w:hAnsi="Garamond" w:cs="Arial"/>
      <w:sz w:val="22"/>
      <w:lang w:eastAsia="en-US"/>
    </w:rPr>
  </w:style>
  <w:style w:type="character" w:customStyle="1" w:styleId="HeaderChar">
    <w:name w:val="Header Char"/>
    <w:basedOn w:val="DefaultParagraphFont"/>
    <w:link w:val="Header"/>
    <w:uiPriority w:val="99"/>
    <w:rsid w:val="00A01517"/>
  </w:style>
  <w:style w:type="paragraph" w:styleId="ListParagraph">
    <w:name w:val="List Paragraph"/>
    <w:basedOn w:val="Normal"/>
    <w:uiPriority w:val="34"/>
    <w:qFormat/>
    <w:rsid w:val="001C2475"/>
    <w:pPr>
      <w:ind w:left="720"/>
      <w:contextualSpacing/>
    </w:pPr>
  </w:style>
  <w:style w:type="character" w:styleId="Emphasis">
    <w:name w:val="Emphasis"/>
    <w:qFormat/>
    <w:locked/>
    <w:rsid w:val="002030D1"/>
    <w:rPr>
      <w:i/>
      <w:iCs/>
    </w:rPr>
  </w:style>
  <w:style w:type="paragraph" w:styleId="NoSpacing">
    <w:name w:val="No Spacing"/>
    <w:uiPriority w:val="1"/>
    <w:qFormat/>
    <w:rsid w:val="00612B42"/>
    <w:rPr>
      <w:rFonts w:ascii="Calibri" w:eastAsia="Calibri" w:hAnsi="Calibri" w:cs="Calibri"/>
      <w:sz w:val="22"/>
      <w:szCs w:val="22"/>
      <w:lang w:eastAsia="en-US"/>
    </w:rPr>
  </w:style>
  <w:style w:type="paragraph" w:customStyle="1" w:styleId="Style5">
    <w:name w:val="Style5"/>
    <w:basedOn w:val="Normal"/>
    <w:uiPriority w:val="99"/>
    <w:rsid w:val="001B0A54"/>
    <w:pPr>
      <w:spacing w:line="381" w:lineRule="exact"/>
      <w:ind w:firstLine="715"/>
      <w:jc w:val="both"/>
    </w:pPr>
  </w:style>
  <w:style w:type="character" w:customStyle="1" w:styleId="FontStyle14">
    <w:name w:val="Font Style14"/>
    <w:uiPriority w:val="99"/>
    <w:rsid w:val="001B0A54"/>
    <w:rPr>
      <w:rFonts w:ascii="Times New Roman" w:hAnsi="Times New Roman" w:cs="Times New Roman"/>
      <w:sz w:val="20"/>
      <w:szCs w:val="20"/>
    </w:rPr>
  </w:style>
  <w:style w:type="paragraph" w:customStyle="1" w:styleId="Style22">
    <w:name w:val="Style22"/>
    <w:basedOn w:val="Normal"/>
    <w:uiPriority w:val="99"/>
    <w:rsid w:val="001B0A54"/>
  </w:style>
  <w:style w:type="paragraph" w:styleId="NormalWeb">
    <w:name w:val="Normal (Web)"/>
    <w:basedOn w:val="Normal"/>
    <w:uiPriority w:val="99"/>
    <w:rsid w:val="001B0A54"/>
    <w:pPr>
      <w:widowControl/>
      <w:autoSpaceDE/>
      <w:autoSpaceDN/>
      <w:adjustRightInd/>
      <w:spacing w:before="100" w:after="100"/>
    </w:pPr>
    <w:rPr>
      <w:rFonts w:eastAsia="Calibri"/>
      <w:color w:val="000000"/>
      <w:szCs w:val="20"/>
      <w:lang w:val="en-US" w:eastAsia="en-US"/>
    </w:rPr>
  </w:style>
  <w:style w:type="paragraph" w:styleId="HTMLPreformatted">
    <w:name w:val="HTML Preformatted"/>
    <w:basedOn w:val="Normal"/>
    <w:link w:val="HTMLPreformattedChar"/>
    <w:uiPriority w:val="99"/>
    <w:rsid w:val="001B0A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sz w:val="20"/>
      <w:szCs w:val="20"/>
      <w:lang w:eastAsia="en-US"/>
    </w:rPr>
  </w:style>
  <w:style w:type="character" w:customStyle="1" w:styleId="HTMLPreformattedChar">
    <w:name w:val="HTML Preformatted Char"/>
    <w:link w:val="HTMLPreformatted"/>
    <w:uiPriority w:val="99"/>
    <w:rsid w:val="001B0A54"/>
    <w:rPr>
      <w:rFonts w:ascii="Courier New" w:eastAsia="Calibri" w:hAnsi="Courier New"/>
      <w:sz w:val="20"/>
      <w:szCs w:val="20"/>
      <w:lang w:eastAsia="en-US"/>
    </w:rPr>
  </w:style>
  <w:style w:type="paragraph" w:customStyle="1" w:styleId="ListParagraph1">
    <w:name w:val="List Paragraph1"/>
    <w:basedOn w:val="Normal"/>
    <w:uiPriority w:val="99"/>
    <w:rsid w:val="00E0078F"/>
    <w:pPr>
      <w:widowControl/>
      <w:autoSpaceDE/>
      <w:autoSpaceDN/>
      <w:adjustRightInd/>
      <w:ind w:left="720"/>
    </w:pPr>
    <w:rPr>
      <w:rFonts w:ascii="Garamond" w:hAnsi="Garamond" w:cs="Garamond"/>
      <w:sz w:val="22"/>
      <w:szCs w:val="22"/>
      <w:lang w:eastAsia="en-US"/>
    </w:rPr>
  </w:style>
  <w:style w:type="paragraph" w:customStyle="1" w:styleId="Default">
    <w:name w:val="Default"/>
    <w:rsid w:val="007144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138920">
      <w:bodyDiv w:val="1"/>
      <w:marLeft w:val="0"/>
      <w:marRight w:val="0"/>
      <w:marTop w:val="0"/>
      <w:marBottom w:val="0"/>
      <w:divBdr>
        <w:top w:val="none" w:sz="0" w:space="0" w:color="auto"/>
        <w:left w:val="none" w:sz="0" w:space="0" w:color="auto"/>
        <w:bottom w:val="none" w:sz="0" w:space="0" w:color="auto"/>
        <w:right w:val="none" w:sz="0" w:space="0" w:color="auto"/>
      </w:divBdr>
    </w:div>
    <w:div w:id="17700223">
      <w:bodyDiv w:val="1"/>
      <w:marLeft w:val="0"/>
      <w:marRight w:val="0"/>
      <w:marTop w:val="0"/>
      <w:marBottom w:val="0"/>
      <w:divBdr>
        <w:top w:val="none" w:sz="0" w:space="0" w:color="auto"/>
        <w:left w:val="none" w:sz="0" w:space="0" w:color="auto"/>
        <w:bottom w:val="none" w:sz="0" w:space="0" w:color="auto"/>
        <w:right w:val="none" w:sz="0" w:space="0" w:color="auto"/>
      </w:divBdr>
    </w:div>
    <w:div w:id="242229421">
      <w:bodyDiv w:val="1"/>
      <w:marLeft w:val="0"/>
      <w:marRight w:val="0"/>
      <w:marTop w:val="0"/>
      <w:marBottom w:val="0"/>
      <w:divBdr>
        <w:top w:val="none" w:sz="0" w:space="0" w:color="auto"/>
        <w:left w:val="none" w:sz="0" w:space="0" w:color="auto"/>
        <w:bottom w:val="none" w:sz="0" w:space="0" w:color="auto"/>
        <w:right w:val="none" w:sz="0" w:space="0" w:color="auto"/>
      </w:divBdr>
    </w:div>
    <w:div w:id="456684720">
      <w:bodyDiv w:val="1"/>
      <w:marLeft w:val="0"/>
      <w:marRight w:val="0"/>
      <w:marTop w:val="0"/>
      <w:marBottom w:val="0"/>
      <w:divBdr>
        <w:top w:val="none" w:sz="0" w:space="0" w:color="auto"/>
        <w:left w:val="none" w:sz="0" w:space="0" w:color="auto"/>
        <w:bottom w:val="none" w:sz="0" w:space="0" w:color="auto"/>
        <w:right w:val="none" w:sz="0" w:space="0" w:color="auto"/>
      </w:divBdr>
    </w:div>
    <w:div w:id="579948366">
      <w:bodyDiv w:val="1"/>
      <w:marLeft w:val="0"/>
      <w:marRight w:val="0"/>
      <w:marTop w:val="0"/>
      <w:marBottom w:val="0"/>
      <w:divBdr>
        <w:top w:val="none" w:sz="0" w:space="0" w:color="auto"/>
        <w:left w:val="none" w:sz="0" w:space="0" w:color="auto"/>
        <w:bottom w:val="none" w:sz="0" w:space="0" w:color="auto"/>
        <w:right w:val="none" w:sz="0" w:space="0" w:color="auto"/>
      </w:divBdr>
    </w:div>
    <w:div w:id="601768936">
      <w:bodyDiv w:val="1"/>
      <w:marLeft w:val="0"/>
      <w:marRight w:val="0"/>
      <w:marTop w:val="0"/>
      <w:marBottom w:val="0"/>
      <w:divBdr>
        <w:top w:val="none" w:sz="0" w:space="0" w:color="auto"/>
        <w:left w:val="none" w:sz="0" w:space="0" w:color="auto"/>
        <w:bottom w:val="none" w:sz="0" w:space="0" w:color="auto"/>
        <w:right w:val="none" w:sz="0" w:space="0" w:color="auto"/>
      </w:divBdr>
    </w:div>
    <w:div w:id="768234824">
      <w:bodyDiv w:val="1"/>
      <w:marLeft w:val="0"/>
      <w:marRight w:val="0"/>
      <w:marTop w:val="0"/>
      <w:marBottom w:val="0"/>
      <w:divBdr>
        <w:top w:val="none" w:sz="0" w:space="0" w:color="auto"/>
        <w:left w:val="none" w:sz="0" w:space="0" w:color="auto"/>
        <w:bottom w:val="none" w:sz="0" w:space="0" w:color="auto"/>
        <w:right w:val="none" w:sz="0" w:space="0" w:color="auto"/>
      </w:divBdr>
    </w:div>
    <w:div w:id="814755557">
      <w:bodyDiv w:val="1"/>
      <w:marLeft w:val="0"/>
      <w:marRight w:val="0"/>
      <w:marTop w:val="0"/>
      <w:marBottom w:val="0"/>
      <w:divBdr>
        <w:top w:val="none" w:sz="0" w:space="0" w:color="auto"/>
        <w:left w:val="none" w:sz="0" w:space="0" w:color="auto"/>
        <w:bottom w:val="none" w:sz="0" w:space="0" w:color="auto"/>
        <w:right w:val="none" w:sz="0" w:space="0" w:color="auto"/>
      </w:divBdr>
    </w:div>
    <w:div w:id="826894379">
      <w:bodyDiv w:val="1"/>
      <w:marLeft w:val="0"/>
      <w:marRight w:val="0"/>
      <w:marTop w:val="0"/>
      <w:marBottom w:val="0"/>
      <w:divBdr>
        <w:top w:val="none" w:sz="0" w:space="0" w:color="auto"/>
        <w:left w:val="none" w:sz="0" w:space="0" w:color="auto"/>
        <w:bottom w:val="none" w:sz="0" w:space="0" w:color="auto"/>
        <w:right w:val="none" w:sz="0" w:space="0" w:color="auto"/>
      </w:divBdr>
    </w:div>
    <w:div w:id="1105227998">
      <w:bodyDiv w:val="1"/>
      <w:marLeft w:val="0"/>
      <w:marRight w:val="0"/>
      <w:marTop w:val="0"/>
      <w:marBottom w:val="0"/>
      <w:divBdr>
        <w:top w:val="none" w:sz="0" w:space="0" w:color="auto"/>
        <w:left w:val="none" w:sz="0" w:space="0" w:color="auto"/>
        <w:bottom w:val="none" w:sz="0" w:space="0" w:color="auto"/>
        <w:right w:val="none" w:sz="0" w:space="0" w:color="auto"/>
      </w:divBdr>
    </w:div>
    <w:div w:id="1150830494">
      <w:bodyDiv w:val="1"/>
      <w:marLeft w:val="0"/>
      <w:marRight w:val="0"/>
      <w:marTop w:val="0"/>
      <w:marBottom w:val="0"/>
      <w:divBdr>
        <w:top w:val="none" w:sz="0" w:space="0" w:color="auto"/>
        <w:left w:val="none" w:sz="0" w:space="0" w:color="auto"/>
        <w:bottom w:val="none" w:sz="0" w:space="0" w:color="auto"/>
        <w:right w:val="none" w:sz="0" w:space="0" w:color="auto"/>
      </w:divBdr>
    </w:div>
    <w:div w:id="1260531312">
      <w:bodyDiv w:val="1"/>
      <w:marLeft w:val="0"/>
      <w:marRight w:val="0"/>
      <w:marTop w:val="0"/>
      <w:marBottom w:val="0"/>
      <w:divBdr>
        <w:top w:val="none" w:sz="0" w:space="0" w:color="auto"/>
        <w:left w:val="none" w:sz="0" w:space="0" w:color="auto"/>
        <w:bottom w:val="none" w:sz="0" w:space="0" w:color="auto"/>
        <w:right w:val="none" w:sz="0" w:space="0" w:color="auto"/>
      </w:divBdr>
    </w:div>
    <w:div w:id="1313608139">
      <w:bodyDiv w:val="1"/>
      <w:marLeft w:val="0"/>
      <w:marRight w:val="0"/>
      <w:marTop w:val="0"/>
      <w:marBottom w:val="0"/>
      <w:divBdr>
        <w:top w:val="none" w:sz="0" w:space="0" w:color="auto"/>
        <w:left w:val="none" w:sz="0" w:space="0" w:color="auto"/>
        <w:bottom w:val="none" w:sz="0" w:space="0" w:color="auto"/>
        <w:right w:val="none" w:sz="0" w:space="0" w:color="auto"/>
      </w:divBdr>
    </w:div>
    <w:div w:id="1403024099">
      <w:bodyDiv w:val="1"/>
      <w:marLeft w:val="0"/>
      <w:marRight w:val="0"/>
      <w:marTop w:val="0"/>
      <w:marBottom w:val="0"/>
      <w:divBdr>
        <w:top w:val="none" w:sz="0" w:space="0" w:color="auto"/>
        <w:left w:val="none" w:sz="0" w:space="0" w:color="auto"/>
        <w:bottom w:val="none" w:sz="0" w:space="0" w:color="auto"/>
        <w:right w:val="none" w:sz="0" w:space="0" w:color="auto"/>
      </w:divBdr>
    </w:div>
    <w:div w:id="1642543321">
      <w:bodyDiv w:val="1"/>
      <w:marLeft w:val="0"/>
      <w:marRight w:val="0"/>
      <w:marTop w:val="0"/>
      <w:marBottom w:val="0"/>
      <w:divBdr>
        <w:top w:val="none" w:sz="0" w:space="0" w:color="auto"/>
        <w:left w:val="none" w:sz="0" w:space="0" w:color="auto"/>
        <w:bottom w:val="none" w:sz="0" w:space="0" w:color="auto"/>
        <w:right w:val="none" w:sz="0" w:space="0" w:color="auto"/>
      </w:divBdr>
    </w:div>
    <w:div w:id="1704210128">
      <w:bodyDiv w:val="1"/>
      <w:marLeft w:val="0"/>
      <w:marRight w:val="0"/>
      <w:marTop w:val="0"/>
      <w:marBottom w:val="0"/>
      <w:divBdr>
        <w:top w:val="none" w:sz="0" w:space="0" w:color="auto"/>
        <w:left w:val="none" w:sz="0" w:space="0" w:color="auto"/>
        <w:bottom w:val="none" w:sz="0" w:space="0" w:color="auto"/>
        <w:right w:val="none" w:sz="0" w:space="0" w:color="auto"/>
      </w:divBdr>
    </w:div>
    <w:div w:id="1736851212">
      <w:bodyDiv w:val="1"/>
      <w:marLeft w:val="0"/>
      <w:marRight w:val="0"/>
      <w:marTop w:val="0"/>
      <w:marBottom w:val="0"/>
      <w:divBdr>
        <w:top w:val="none" w:sz="0" w:space="0" w:color="auto"/>
        <w:left w:val="none" w:sz="0" w:space="0" w:color="auto"/>
        <w:bottom w:val="none" w:sz="0" w:space="0" w:color="auto"/>
        <w:right w:val="none" w:sz="0" w:space="0" w:color="auto"/>
      </w:divBdr>
    </w:div>
    <w:div w:id="1891989646">
      <w:bodyDiv w:val="1"/>
      <w:marLeft w:val="0"/>
      <w:marRight w:val="0"/>
      <w:marTop w:val="0"/>
      <w:marBottom w:val="0"/>
      <w:divBdr>
        <w:top w:val="none" w:sz="0" w:space="0" w:color="auto"/>
        <w:left w:val="none" w:sz="0" w:space="0" w:color="auto"/>
        <w:bottom w:val="none" w:sz="0" w:space="0" w:color="auto"/>
        <w:right w:val="none" w:sz="0" w:space="0" w:color="auto"/>
      </w:divBdr>
    </w:div>
    <w:div w:id="2035882511">
      <w:bodyDiv w:val="1"/>
      <w:marLeft w:val="0"/>
      <w:marRight w:val="0"/>
      <w:marTop w:val="0"/>
      <w:marBottom w:val="0"/>
      <w:divBdr>
        <w:top w:val="none" w:sz="0" w:space="0" w:color="auto"/>
        <w:left w:val="none" w:sz="0" w:space="0" w:color="auto"/>
        <w:bottom w:val="none" w:sz="0" w:space="0" w:color="auto"/>
        <w:right w:val="none" w:sz="0" w:space="0" w:color="auto"/>
      </w:divBdr>
    </w:div>
    <w:div w:id="2055694562">
      <w:bodyDiv w:val="1"/>
      <w:marLeft w:val="0"/>
      <w:marRight w:val="0"/>
      <w:marTop w:val="0"/>
      <w:marBottom w:val="0"/>
      <w:divBdr>
        <w:top w:val="none" w:sz="0" w:space="0" w:color="auto"/>
        <w:left w:val="none" w:sz="0" w:space="0" w:color="auto"/>
        <w:bottom w:val="none" w:sz="0" w:space="0" w:color="auto"/>
        <w:right w:val="none" w:sz="0" w:space="0" w:color="auto"/>
      </w:divBdr>
    </w:div>
    <w:div w:id="21339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199">
                <a:latin typeface="Times New Roman" panose="02020603050405020304" pitchFamily="18" charset="0"/>
                <a:cs typeface="Times New Roman" panose="02020603050405020304" pitchFamily="18" charset="0"/>
              </a:rPr>
              <a:t>ОБЩА</a:t>
            </a:r>
            <a:r>
              <a:rPr lang="bg-BG" sz="1199" baseline="0">
                <a:latin typeface="Times New Roman" panose="02020603050405020304" pitchFamily="18" charset="0"/>
                <a:cs typeface="Times New Roman" panose="02020603050405020304" pitchFamily="18" charset="0"/>
              </a:rPr>
              <a:t> ВОДОПРОВОДНА МРЕЖА</a:t>
            </a:r>
            <a:endParaRPr lang="en-GB" sz="1200">
              <a:latin typeface="Times New Roman" panose="02020603050405020304" pitchFamily="18" charset="0"/>
              <a:cs typeface="Times New Roman" panose="02020603050405020304" pitchFamily="18" charset="0"/>
            </a:endParaRPr>
          </a:p>
        </c:rich>
      </c:tx>
      <c:overlay val="0"/>
    </c:title>
    <c:autoTitleDeleted val="0"/>
    <c:view3D>
      <c:rotX val="30"/>
      <c:rotY val="230"/>
      <c:rAngAx val="0"/>
    </c:view3D>
    <c:floor>
      <c:thickness val="0"/>
    </c:floor>
    <c:sideWall>
      <c:thickness val="0"/>
    </c:sideWall>
    <c:backWall>
      <c:thickness val="0"/>
    </c:backWall>
    <c:plotArea>
      <c:layout>
        <c:manualLayout>
          <c:layoutTarget val="inner"/>
          <c:xMode val="edge"/>
          <c:yMode val="edge"/>
          <c:x val="7.7011677888090629E-2"/>
          <c:y val="0.2172250782701749"/>
          <c:w val="0.62530889376532861"/>
          <c:h val="0.68358922076889383"/>
        </c:manualLayout>
      </c:layout>
      <c:pie3DChart>
        <c:varyColors val="1"/>
        <c:ser>
          <c:idx val="0"/>
          <c:order val="0"/>
          <c:dLbls>
            <c:dLbl>
              <c:idx val="0"/>
              <c:layout>
                <c:manualLayout>
                  <c:x val="1.0111440987909299E-2"/>
                  <c:y val="-4.4287108739506732E-2"/>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14CA-4E0C-B616-8DC9AB0D8E9B}"/>
                </c:ext>
              </c:extLst>
            </c:dLbl>
            <c:dLbl>
              <c:idx val="1"/>
              <c:layout>
                <c:manualLayout>
                  <c:x val="-3.9750957359838135E-2"/>
                  <c:y val="-0.24743671503871933"/>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14CA-4E0C-B616-8DC9AB0D8E9B}"/>
                </c:ext>
              </c:extLst>
            </c:dLbl>
            <c:dLbl>
              <c:idx val="2"/>
              <c:layout>
                <c:manualLayout>
                  <c:x val="2.6918635170603788E-2"/>
                  <c:y val="2.1674150235352807E-3"/>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14CA-4E0C-B616-8DC9AB0D8E9B}"/>
                </c:ext>
              </c:extLst>
            </c:dLbl>
            <c:dLbl>
              <c:idx val="3"/>
              <c:layout>
                <c:manualLayout>
                  <c:x val="0.11614715373693105"/>
                  <c:y val="-7.503524869308692E-3"/>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4CA-4E0C-B616-8DC9AB0D8E9B}"/>
                </c:ext>
              </c:extLst>
            </c:dLbl>
            <c:dLbl>
              <c:idx val="4"/>
              <c:layout>
                <c:manualLayout>
                  <c:x val="0.16793184458500196"/>
                  <c:y val="0.10335943544247048"/>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14CA-4E0C-B616-8DC9AB0D8E9B}"/>
                </c:ext>
              </c:extLst>
            </c:dLbl>
            <c:dLbl>
              <c:idx val="5"/>
              <c:layout>
                <c:manualLayout>
                  <c:x val="5.6482719776858051E-2"/>
                  <c:y val="0.12642437411447788"/>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14CA-4E0C-B616-8DC9AB0D8E9B}"/>
                </c:ext>
              </c:extLst>
            </c:dLbl>
            <c:dLbl>
              <c:idx val="6"/>
              <c:layout>
                <c:manualLayout>
                  <c:x val="-5.2873325806168867E-2"/>
                  <c:y val="0.15203521140507367"/>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14CA-4E0C-B616-8DC9AB0D8E9B}"/>
                </c:ext>
              </c:extLst>
            </c:dLbl>
            <c:dLbl>
              <c:idx val="7"/>
              <c:layout>
                <c:manualLayout>
                  <c:x val="-5.2873325806168867E-2"/>
                  <c:y val="4.4651438963469653E-2"/>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14CA-4E0C-B616-8DC9AB0D8E9B}"/>
                </c:ext>
              </c:extLst>
            </c:dLbl>
            <c:dLbl>
              <c:idx val="8"/>
              <c:layout>
                <c:manualLayout>
                  <c:x val="-3.7789027060474496E-2"/>
                  <c:y val="-3.815200141479598E-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423E-4FE3-AE46-A8F374062757}"/>
                </c:ext>
              </c:extLst>
            </c:dLbl>
            <c:numFmt formatCode="0.00%" sourceLinked="0"/>
            <c:spPr>
              <a:noFill/>
              <a:ln>
                <a:noFill/>
              </a:ln>
              <a:effectLst/>
            </c:spPr>
            <c:txPr>
              <a:bodyPr/>
              <a:lstStyle/>
              <a:p>
                <a:pPr>
                  <a:defRPr>
                    <a:latin typeface="Times New Roman" pitchFamily="18" charset="0"/>
                    <a:cs typeface="Times New Roman" pitchFamily="18" charset="0"/>
                  </a:defRPr>
                </a:pPr>
                <a:endParaRPr lang="en-US"/>
              </a:p>
            </c:txPr>
            <c:showLegendKey val="1"/>
            <c:showVal val="1"/>
            <c:showCatName val="0"/>
            <c:showSerName val="0"/>
            <c:showPercent val="1"/>
            <c:showBubbleSize val="0"/>
            <c:separator>
</c:separator>
            <c:showLeaderLines val="1"/>
            <c:extLst>
              <c:ext xmlns:c15="http://schemas.microsoft.com/office/drawing/2012/chart" uri="{CE6537A1-D6FC-4f65-9D91-7224C49458BB}"/>
            </c:extLst>
          </c:dLbls>
          <c:cat>
            <c:strRef>
              <c:f>Sheet1!$A$1:$A$9</c:f>
              <c:strCache>
                <c:ptCount val="9"/>
                <c:pt idx="0">
                  <c:v>етернит</c:v>
                </c:pt>
                <c:pt idx="1">
                  <c:v>стомана </c:v>
                </c:pt>
                <c:pt idx="2">
                  <c:v>чугун</c:v>
                </c:pt>
                <c:pt idx="3">
                  <c:v>ПЕВП</c:v>
                </c:pt>
                <c:pt idx="4">
                  <c:v>PVC</c:v>
                </c:pt>
                <c:pt idx="5">
                  <c:v>поцинковани</c:v>
                </c:pt>
                <c:pt idx="6">
                  <c:v>каменин</c:v>
                </c:pt>
                <c:pt idx="7">
                  <c:v>PVC-O</c:v>
                </c:pt>
                <c:pt idx="8">
                  <c:v>стоманобетон</c:v>
                </c:pt>
              </c:strCache>
            </c:strRef>
          </c:cat>
          <c:val>
            <c:numRef>
              <c:f>Sheet1!$B$1:$B$9</c:f>
              <c:numCache>
                <c:formatCode>General</c:formatCode>
                <c:ptCount val="9"/>
                <c:pt idx="0">
                  <c:v>2159.424</c:v>
                </c:pt>
                <c:pt idx="1">
                  <c:v>880.85999999999956</c:v>
                </c:pt>
                <c:pt idx="2">
                  <c:v>110.6</c:v>
                </c:pt>
                <c:pt idx="3">
                  <c:v>993.3919999999996</c:v>
                </c:pt>
                <c:pt idx="4">
                  <c:v>2</c:v>
                </c:pt>
                <c:pt idx="5">
                  <c:v>30</c:v>
                </c:pt>
                <c:pt idx="6">
                  <c:v>7</c:v>
                </c:pt>
                <c:pt idx="7">
                  <c:v>1.7600000000000002</c:v>
                </c:pt>
                <c:pt idx="8">
                  <c:v>85</c:v>
                </c:pt>
              </c:numCache>
            </c:numRef>
          </c:val>
          <c:extLst>
            <c:ext xmlns:c16="http://schemas.microsoft.com/office/drawing/2014/chart" uri="{C3380CC4-5D6E-409C-BE32-E72D297353CC}">
              <c16:uniqueId val="{00000008-14CA-4E0C-B616-8DC9AB0D8E9B}"/>
            </c:ext>
          </c:extLst>
        </c:ser>
        <c:dLbls>
          <c:showLegendKey val="0"/>
          <c:showVal val="0"/>
          <c:showCatName val="0"/>
          <c:showSerName val="0"/>
          <c:showPercent val="0"/>
          <c:showBubbleSize val="0"/>
          <c:showLeaderLines val="1"/>
        </c:dLbls>
      </c:pie3DChart>
      <c:spPr>
        <a:noFill/>
        <a:ln w="25387">
          <a:noFill/>
        </a:ln>
      </c:spPr>
    </c:plotArea>
    <c:legend>
      <c:legendPos val="r"/>
      <c:layout>
        <c:manualLayout>
          <c:xMode val="edge"/>
          <c:yMode val="edge"/>
          <c:x val="0.82000000000000062"/>
          <c:y val="0.26345609065155806"/>
          <c:w val="0.16398795486079804"/>
          <c:h val="0.49711862940209417"/>
        </c:manualLayout>
      </c:layout>
      <c:overlay val="0"/>
      <c:txPr>
        <a:bodyPr/>
        <a:lstStyle/>
        <a:p>
          <a:pPr rtl="0">
            <a:defRPr>
              <a:latin typeface="Times New Roman" pitchFamily="18" charset="0"/>
              <a:cs typeface="Times New Roman" pitchFamily="18" charset="0"/>
            </a:defRPr>
          </a:pPr>
          <a:endParaRPr lang="en-US"/>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a:latin typeface="Times New Roman" pitchFamily="18" charset="0"/>
                <a:cs typeface="Times New Roman" pitchFamily="18" charset="0"/>
              </a:defRPr>
            </a:pPr>
            <a:r>
              <a:rPr lang="bg-BG" sz="1199">
                <a:latin typeface="Times New Roman" pitchFamily="18" charset="0"/>
                <a:cs typeface="Times New Roman" pitchFamily="18" charset="0"/>
              </a:rPr>
              <a:t>СТРУКТУРА</a:t>
            </a:r>
            <a:r>
              <a:rPr lang="bg-BG" sz="1199" baseline="0">
                <a:latin typeface="Times New Roman" pitchFamily="18" charset="0"/>
                <a:cs typeface="Times New Roman" pitchFamily="18" charset="0"/>
              </a:rPr>
              <a:t> НА ПРИХОДИТЕ</a:t>
            </a:r>
            <a:endParaRPr lang="en-US" sz="1200">
              <a:latin typeface="Times New Roman" pitchFamily="18" charset="0"/>
              <a:cs typeface="Times New Roman" pitchFamily="18" charset="0"/>
            </a:endParaRPr>
          </a:p>
        </c:rich>
      </c:tx>
      <c:overlay val="0"/>
    </c:title>
    <c:autoTitleDeleted val="0"/>
    <c:view3D>
      <c:rotX val="30"/>
      <c:rotY val="194"/>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layout>
                <c:manualLayout>
                  <c:x val="0.11255686789151355"/>
                  <c:y val="-1.0429008873890764E-2"/>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A64F-48B3-B6BD-19CE820FFBD4}"/>
                </c:ext>
              </c:extLst>
            </c:dLbl>
            <c:dLbl>
              <c:idx val="1"/>
              <c:layout>
                <c:manualLayout>
                  <c:x val="4.7874653689122186E-2"/>
                  <c:y val="-4.0369953755780533E-4"/>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64F-48B3-B6BD-19CE820FFBD4}"/>
                </c:ext>
              </c:extLst>
            </c:dLbl>
            <c:dLbl>
              <c:idx val="2"/>
              <c:layout>
                <c:manualLayout>
                  <c:x val="1.9076899241761557E-2"/>
                  <c:y val="4.7607486564179478E-2"/>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A64F-48B3-B6BD-19CE820FFBD4}"/>
                </c:ext>
              </c:extLst>
            </c:dLbl>
            <c:dLbl>
              <c:idx val="3"/>
              <c:layout>
                <c:manualLayout>
                  <c:x val="-4.8617490522018386E-2"/>
                  <c:y val="-2.1747281589801406E-3"/>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64F-48B3-B6BD-19CE820FFBD4}"/>
                </c:ext>
              </c:extLst>
            </c:dLbl>
            <c:numFmt formatCode="General" sourceLinked="0"/>
            <c:spPr>
              <a:noFill/>
              <a:ln>
                <a:noFill/>
              </a:ln>
              <a:effectLst/>
            </c:spPr>
            <c:txPr>
              <a:bodyPr/>
              <a:lstStyle/>
              <a:p>
                <a:pPr>
                  <a:defRPr>
                    <a:latin typeface="Times New Roman" pitchFamily="18" charset="0"/>
                    <a:cs typeface="Times New Roman" pitchFamily="18" charset="0"/>
                  </a:defRPr>
                </a:pPr>
                <a:endParaRPr lang="en-US"/>
              </a:p>
            </c:txPr>
            <c:showLegendKey val="1"/>
            <c:showVal val="1"/>
            <c:showCatName val="0"/>
            <c:showSerName val="0"/>
            <c:showPercent val="1"/>
            <c:showBubbleSize val="0"/>
            <c:separator>
</c:separator>
            <c:showLeaderLines val="1"/>
            <c:extLst>
              <c:ext xmlns:c15="http://schemas.microsoft.com/office/drawing/2012/chart" uri="{CE6537A1-D6FC-4f65-9D91-7224C49458BB}"/>
            </c:extLst>
          </c:dLbls>
          <c:cat>
            <c:strRef>
              <c:f>Sheet1!$A$2:$A$5</c:f>
              <c:strCache>
                <c:ptCount val="4"/>
                <c:pt idx="0">
                  <c:v>Приходи от доставяне на вода, отвеждане на вода и пречистване</c:v>
                </c:pt>
                <c:pt idx="1">
                  <c:v>Приходи от услуги</c:v>
                </c:pt>
                <c:pt idx="2">
                  <c:v>Други приходи</c:v>
                </c:pt>
                <c:pt idx="3">
                  <c:v>Финансови приходи</c:v>
                </c:pt>
              </c:strCache>
            </c:strRef>
          </c:cat>
          <c:val>
            <c:numRef>
              <c:f>Sheet1!$B$2:$B$5</c:f>
              <c:numCache>
                <c:formatCode>General</c:formatCode>
                <c:ptCount val="4"/>
                <c:pt idx="0">
                  <c:v>62883</c:v>
                </c:pt>
                <c:pt idx="1">
                  <c:v>765</c:v>
                </c:pt>
                <c:pt idx="2">
                  <c:v>13830</c:v>
                </c:pt>
                <c:pt idx="3">
                  <c:v>1</c:v>
                </c:pt>
              </c:numCache>
            </c:numRef>
          </c:val>
          <c:extLst>
            <c:ext xmlns:c16="http://schemas.microsoft.com/office/drawing/2014/chart" uri="{C3380CC4-5D6E-409C-BE32-E72D297353CC}">
              <c16:uniqueId val="{00000004-A64F-48B3-B6BD-19CE820FFBD4}"/>
            </c:ext>
          </c:extLst>
        </c:ser>
        <c:dLbls>
          <c:showLegendKey val="0"/>
          <c:showVal val="0"/>
          <c:showCatName val="0"/>
          <c:showSerName val="0"/>
          <c:showPercent val="0"/>
          <c:showBubbleSize val="0"/>
          <c:showLeaderLines val="1"/>
        </c:dLbls>
      </c:pie3DChart>
      <c:spPr>
        <a:noFill/>
        <a:ln w="25377">
          <a:noFill/>
        </a:ln>
      </c:spPr>
    </c:plotArea>
    <c:legend>
      <c:legendPos val="r"/>
      <c:layout>
        <c:manualLayout>
          <c:xMode val="edge"/>
          <c:yMode val="edge"/>
          <c:x val="0.6872791519434629"/>
          <c:y val="0.21779141104294558"/>
          <c:w val="0.29858657243816339"/>
          <c:h val="0.63803680981595057"/>
        </c:manualLayout>
      </c:layout>
      <c:overlay val="0"/>
      <c:txPr>
        <a:bodyPr/>
        <a:lstStyle/>
        <a:p>
          <a:pPr>
            <a:defRPr>
              <a:latin typeface="Times New Roman" pitchFamily="18" charset="0"/>
              <a:cs typeface="Times New Roman" pitchFamily="18" charset="0"/>
            </a:defRPr>
          </a:pPr>
          <a:endParaRPr lang="en-US"/>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a:latin typeface="Times New Roman" pitchFamily="18" charset="0"/>
                <a:cs typeface="Times New Roman" pitchFamily="18" charset="0"/>
              </a:defRPr>
            </a:pPr>
            <a:r>
              <a:rPr lang="bg-BG"/>
              <a:t>РАЗХОДИ </a:t>
            </a:r>
            <a:r>
              <a:rPr lang="bg-BG" baseline="0"/>
              <a:t> </a:t>
            </a:r>
            <a:r>
              <a:rPr lang="bg-BG"/>
              <a:t>ЗА</a:t>
            </a:r>
            <a:r>
              <a:rPr lang="bg-BG" baseline="0"/>
              <a:t> </a:t>
            </a:r>
            <a:r>
              <a:rPr lang="bg-BG"/>
              <a:t>ДЕЙНОСТТА</a:t>
            </a:r>
          </a:p>
        </c:rich>
      </c:tx>
      <c:overlay val="0"/>
    </c:title>
    <c:autoTitleDeleted val="0"/>
    <c:view3D>
      <c:rotX val="30"/>
      <c:rotY val="225"/>
      <c:rAngAx val="0"/>
      <c:perspective val="10"/>
    </c:view3D>
    <c:floor>
      <c:thickness val="0"/>
    </c:floor>
    <c:sideWall>
      <c:thickness val="0"/>
    </c:sideWall>
    <c:backWall>
      <c:thickness val="0"/>
    </c:backWall>
    <c:plotArea>
      <c:layout>
        <c:manualLayout>
          <c:layoutTarget val="inner"/>
          <c:xMode val="edge"/>
          <c:yMode val="edge"/>
          <c:x val="7.4074074074074084E-2"/>
          <c:y val="0.14672634670666379"/>
          <c:w val="0.54099646398366852"/>
          <c:h val="0.69057524059492581"/>
        </c:manualLayout>
      </c:layout>
      <c:pie3DChart>
        <c:varyColors val="1"/>
        <c:ser>
          <c:idx val="0"/>
          <c:order val="0"/>
          <c:tx>
            <c:strRef>
              <c:f>Sheet1!$B$1</c:f>
              <c:strCache>
                <c:ptCount val="1"/>
                <c:pt idx="0">
                  <c:v>Column1</c:v>
                </c:pt>
              </c:strCache>
            </c:strRef>
          </c:tx>
          <c:dLbls>
            <c:dLbl>
              <c:idx val="0"/>
              <c:layout>
                <c:manualLayout>
                  <c:x val="-4.4115084572761802E-2"/>
                  <c:y val="-1.3206161729783835E-2"/>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7949-4A55-86C2-1A41585B28D2}"/>
                </c:ext>
              </c:extLst>
            </c:dLbl>
            <c:dLbl>
              <c:idx val="1"/>
              <c:layout>
                <c:manualLayout>
                  <c:x val="2.0849993404203959E-2"/>
                  <c:y val="-0.1681444270504763"/>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949-4A55-86C2-1A41585B28D2}"/>
                </c:ext>
              </c:extLst>
            </c:dLbl>
            <c:dLbl>
              <c:idx val="2"/>
              <c:layout>
                <c:manualLayout>
                  <c:x val="6.5321886847477431E-2"/>
                  <c:y val="9.6800399950006805E-2"/>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7949-4A55-86C2-1A41585B28D2}"/>
                </c:ext>
              </c:extLst>
            </c:dLbl>
            <c:dLbl>
              <c:idx val="3"/>
              <c:layout>
                <c:manualLayout>
                  <c:x val="-5.4431685622630725E-2"/>
                  <c:y val="1.1192350956130487E-2"/>
                </c:manualLayout>
              </c:layout>
              <c:dLblPos val="bestFi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949-4A55-86C2-1A41585B28D2}"/>
                </c:ext>
              </c:extLst>
            </c:dLbl>
            <c:numFmt formatCode="General" sourceLinked="0"/>
            <c:spPr>
              <a:noFill/>
              <a:ln>
                <a:noFill/>
              </a:ln>
              <a:effectLst/>
            </c:spPr>
            <c:txPr>
              <a:bodyPr/>
              <a:lstStyle/>
              <a:p>
                <a:pPr>
                  <a:defRPr>
                    <a:latin typeface="Times New Roman" pitchFamily="18" charset="0"/>
                    <a:cs typeface="Times New Roman" pitchFamily="18" charset="0"/>
                  </a:defRPr>
                </a:pPr>
                <a:endParaRPr lang="en-US"/>
              </a:p>
            </c:txPr>
            <c:showLegendKey val="1"/>
            <c:showVal val="1"/>
            <c:showCatName val="0"/>
            <c:showSerName val="0"/>
            <c:showPercent val="1"/>
            <c:showBubbleSize val="0"/>
            <c:separator>
</c:separator>
            <c:showLeaderLines val="1"/>
            <c:extLst>
              <c:ext xmlns:c15="http://schemas.microsoft.com/office/drawing/2012/chart" uri="{CE6537A1-D6FC-4f65-9D91-7224C49458BB}"/>
            </c:extLst>
          </c:dLbls>
          <c:cat>
            <c:strRef>
              <c:f>Sheet1!$A$2:$A$6</c:f>
              <c:strCache>
                <c:ptCount val="5"/>
                <c:pt idx="0">
                  <c:v>Разходи за оперативна дейност</c:v>
                </c:pt>
                <c:pt idx="1">
                  <c:v>Разходи за спомагателна дейност</c:v>
                </c:pt>
                <c:pt idx="2">
                  <c:v>Разходи за организация и управление</c:v>
                </c:pt>
                <c:pt idx="3">
                  <c:v>Разходи по продажбите</c:v>
                </c:pt>
                <c:pt idx="4">
                  <c:v>Финансови разходи</c:v>
                </c:pt>
              </c:strCache>
            </c:strRef>
          </c:cat>
          <c:val>
            <c:numRef>
              <c:f>Sheet1!$B$2:$B$6</c:f>
              <c:numCache>
                <c:formatCode>General</c:formatCode>
                <c:ptCount val="5"/>
                <c:pt idx="0">
                  <c:v>46115</c:v>
                </c:pt>
                <c:pt idx="1">
                  <c:v>4344</c:v>
                </c:pt>
                <c:pt idx="2">
                  <c:v>21522</c:v>
                </c:pt>
                <c:pt idx="3">
                  <c:v>564</c:v>
                </c:pt>
                <c:pt idx="4">
                  <c:v>1854</c:v>
                </c:pt>
              </c:numCache>
            </c:numRef>
          </c:val>
          <c:extLst>
            <c:ext xmlns:c16="http://schemas.microsoft.com/office/drawing/2014/chart" uri="{C3380CC4-5D6E-409C-BE32-E72D297353CC}">
              <c16:uniqueId val="{00000004-7949-4A55-86C2-1A41585B28D2}"/>
            </c:ext>
          </c:extLst>
        </c:ser>
        <c:dLbls>
          <c:showLegendKey val="0"/>
          <c:showVal val="0"/>
          <c:showCatName val="0"/>
          <c:showSerName val="0"/>
          <c:showPercent val="0"/>
          <c:showBubbleSize val="0"/>
          <c:showLeaderLines val="1"/>
        </c:dLbls>
      </c:pie3DChart>
      <c:spPr>
        <a:noFill/>
        <a:ln w="25377">
          <a:noFill/>
        </a:ln>
      </c:spPr>
    </c:plotArea>
    <c:legend>
      <c:legendPos val="r"/>
      <c:layout>
        <c:manualLayout>
          <c:xMode val="edge"/>
          <c:yMode val="edge"/>
          <c:x val="0.6948903050896803"/>
          <c:y val="0.51555285559631459"/>
          <c:w val="0.29151943462897528"/>
          <c:h val="0.45705521472392624"/>
        </c:manualLayout>
      </c:layout>
      <c:overlay val="0"/>
      <c:txPr>
        <a:bodyPr/>
        <a:lstStyle/>
        <a:p>
          <a:pPr>
            <a:defRPr>
              <a:latin typeface="Times New Roman" pitchFamily="18" charset="0"/>
              <a:cs typeface="Times New Roman" pitchFamily="18" charset="0"/>
            </a:defRPr>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7126A-BE64-42E6-8288-96D145EA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7014</Words>
  <Characters>41061</Characters>
  <Application>Microsoft Office Word</Application>
  <DocSecurity>0</DocSecurity>
  <Lines>342</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ВЪВЕДЕНИЕ</vt:lpstr>
      <vt:lpstr>ВЪВЕДЕНИЕ</vt:lpstr>
    </vt:vector>
  </TitlesOfParts>
  <Company>HCData</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ВЪВЕДЕНИЕ</dc:title>
  <dc:creator>martin</dc:creator>
  <cp:lastModifiedBy>Ivan Lazarov</cp:lastModifiedBy>
  <cp:revision>21</cp:revision>
  <cp:lastPrinted>2020-03-13T06:55:00Z</cp:lastPrinted>
  <dcterms:created xsi:type="dcterms:W3CDTF">2020-03-06T13:06:00Z</dcterms:created>
  <dcterms:modified xsi:type="dcterms:W3CDTF">2020-03-13T07:28:00Z</dcterms:modified>
</cp:coreProperties>
</file>